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1"/>
        <w:tblW w:w="5604" w:type="pct"/>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76"/>
        <w:gridCol w:w="3844"/>
        <w:gridCol w:w="5671"/>
      </w:tblGrid>
      <w:tr w:rsidR="00A96B21" w:rsidRPr="00670887" w14:paraId="50B503C9" w14:textId="77777777" w:rsidTr="0019402C">
        <w:trPr>
          <w:trHeight w:val="851"/>
        </w:trPr>
        <w:tc>
          <w:tcPr>
            <w:tcW w:w="465" w:type="pct"/>
            <w:tcBorders>
              <w:bottom w:val="single" w:sz="8" w:space="0" w:color="auto"/>
            </w:tcBorders>
            <w:vAlign w:val="bottom"/>
          </w:tcPr>
          <w:p w14:paraId="255C74E2" w14:textId="77777777" w:rsidR="00A96B21" w:rsidRPr="00670887" w:rsidRDefault="00A96B21" w:rsidP="0019402C">
            <w:pPr>
              <w:spacing w:after="120"/>
              <w:jc w:val="left"/>
            </w:pPr>
            <w:bookmarkStart w:id="0" w:name="_Hlk137651738"/>
            <w:r w:rsidRPr="00670887">
              <w:drawing>
                <wp:inline distT="0" distB="0" distL="0" distR="0" wp14:anchorId="3D4EED69" wp14:editId="17F6A446">
                  <wp:extent cx="476494" cy="403200"/>
                  <wp:effectExtent l="0" t="0" r="6350" b="3810"/>
                  <wp:docPr id="1126395443" name="Picture 1126395443"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76494" cy="403200"/>
                          </a:xfrm>
                          <a:prstGeom prst="rect">
                            <a:avLst/>
                          </a:prstGeom>
                          <a:noFill/>
                          <a:ln>
                            <a:noFill/>
                          </a:ln>
                        </pic:spPr>
                      </pic:pic>
                    </a:graphicData>
                  </a:graphic>
                </wp:inline>
              </w:drawing>
            </w:r>
          </w:p>
        </w:tc>
        <w:tc>
          <w:tcPr>
            <w:tcW w:w="1832" w:type="pct"/>
            <w:tcBorders>
              <w:bottom w:val="single" w:sz="8" w:space="0" w:color="auto"/>
            </w:tcBorders>
            <w:shd w:val="clear" w:color="auto" w:fill="auto"/>
            <w:tcFitText/>
            <w:vAlign w:val="bottom"/>
          </w:tcPr>
          <w:p w14:paraId="66FCC0BD" w14:textId="427D9A03" w:rsidR="00A96B21" w:rsidRPr="00670887" w:rsidRDefault="00670887" w:rsidP="0019402C">
            <w:pPr>
              <w:spacing w:after="120"/>
              <w:jc w:val="left"/>
            </w:pPr>
            <w:r w:rsidRPr="00670887">
              <w:rPr>
                <w14:ligatures w14:val="standardContextual"/>
              </w:rPr>
              <w:drawing>
                <wp:inline distT="0" distB="0" distL="0" distR="0" wp14:anchorId="678A3BEE" wp14:editId="5F47DE23">
                  <wp:extent cx="611015" cy="349151"/>
                  <wp:effectExtent l="0" t="0" r="0" b="0"/>
                  <wp:docPr id="2076925060" name="Imagen 1" descr="For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6925060" name="Imagen 1" descr="Forma&#10;&#10;Descripción generada automáticamente con confianza media"/>
                          <pic:cNvPicPr/>
                        </pic:nvPicPr>
                        <pic:blipFill>
                          <a:blip r:embed="rId12">
                            <a:extLst>
                              <a:ext uri="{28A0092B-C50C-407E-A947-70E740481C1C}">
                                <a14:useLocalDpi xmlns:a14="http://schemas.microsoft.com/office/drawing/2010/main" val="0"/>
                              </a:ext>
                            </a:extLst>
                          </a:blip>
                          <a:stretch>
                            <a:fillRect/>
                          </a:stretch>
                        </pic:blipFill>
                        <pic:spPr>
                          <a:xfrm>
                            <a:off x="0" y="0"/>
                            <a:ext cx="611015" cy="349151"/>
                          </a:xfrm>
                          <a:prstGeom prst="rect">
                            <a:avLst/>
                          </a:prstGeom>
                        </pic:spPr>
                      </pic:pic>
                    </a:graphicData>
                  </a:graphic>
                </wp:inline>
              </w:drawing>
            </w:r>
          </w:p>
        </w:tc>
        <w:tc>
          <w:tcPr>
            <w:tcW w:w="2703" w:type="pct"/>
            <w:tcBorders>
              <w:bottom w:val="single" w:sz="8" w:space="0" w:color="auto"/>
            </w:tcBorders>
            <w:vAlign w:val="bottom"/>
          </w:tcPr>
          <w:p w14:paraId="097B0D2C" w14:textId="58B33386" w:rsidR="00A96B21" w:rsidRPr="00670887" w:rsidRDefault="00A96B21" w:rsidP="00184909">
            <w:pPr>
              <w:spacing w:after="120"/>
              <w:ind w:left="2021"/>
              <w:jc w:val="right"/>
              <w:rPr>
                <w:szCs w:val="22"/>
              </w:rPr>
            </w:pPr>
            <w:r w:rsidRPr="00670887">
              <w:rPr>
                <w:sz w:val="40"/>
              </w:rPr>
              <w:t>CBD</w:t>
            </w:r>
            <w:r w:rsidRPr="00670887">
              <w:t>/SBI/REC/4/13</w:t>
            </w:r>
          </w:p>
        </w:tc>
      </w:tr>
      <w:tr w:rsidR="00A96B21" w:rsidRPr="00670887" w14:paraId="2F2C9482" w14:textId="77777777" w:rsidTr="0019402C">
        <w:tc>
          <w:tcPr>
            <w:tcW w:w="2297" w:type="pct"/>
            <w:gridSpan w:val="2"/>
            <w:tcBorders>
              <w:top w:val="single" w:sz="8" w:space="0" w:color="auto"/>
              <w:bottom w:val="single" w:sz="12" w:space="0" w:color="auto"/>
            </w:tcBorders>
          </w:tcPr>
          <w:p w14:paraId="4B5F15B4" w14:textId="154F4032" w:rsidR="00A96B21" w:rsidRPr="00670887" w:rsidRDefault="00670887" w:rsidP="0019402C">
            <w:pPr>
              <w:pStyle w:val="Cornernotation"/>
              <w:suppressLineNumbers/>
              <w:suppressAutoHyphens/>
              <w:spacing w:before="120" w:after="120"/>
              <w:ind w:left="0" w:right="0" w:firstLine="0"/>
            </w:pPr>
            <w:r w:rsidRPr="00670887">
              <w:rPr>
                <w14:ligatures w14:val="standardContextual"/>
              </w:rPr>
              <w:drawing>
                <wp:inline distT="0" distB="0" distL="0" distR="0" wp14:anchorId="1C5E6BDF" wp14:editId="09057432">
                  <wp:extent cx="2901948" cy="1066892"/>
                  <wp:effectExtent l="0" t="0" r="0" b="0"/>
                  <wp:docPr id="517193688" name="Imagen 2" descr="Interfaz de usuario gráfica, Texto,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7193688" name="Imagen 2" descr="Interfaz de usuario gráfica, Texto, Aplicación&#10;&#10;Descripción generada automáticamente"/>
                          <pic:cNvPicPr/>
                        </pic:nvPicPr>
                        <pic:blipFill>
                          <a:blip r:embed="rId13">
                            <a:extLst>
                              <a:ext uri="{28A0092B-C50C-407E-A947-70E740481C1C}">
                                <a14:useLocalDpi xmlns:a14="http://schemas.microsoft.com/office/drawing/2010/main" val="0"/>
                              </a:ext>
                            </a:extLst>
                          </a:blip>
                          <a:stretch>
                            <a:fillRect/>
                          </a:stretch>
                        </pic:blipFill>
                        <pic:spPr>
                          <a:xfrm>
                            <a:off x="0" y="0"/>
                            <a:ext cx="2901948" cy="1066892"/>
                          </a:xfrm>
                          <a:prstGeom prst="rect">
                            <a:avLst/>
                          </a:prstGeom>
                        </pic:spPr>
                      </pic:pic>
                    </a:graphicData>
                  </a:graphic>
                </wp:inline>
              </w:drawing>
            </w:r>
          </w:p>
        </w:tc>
        <w:tc>
          <w:tcPr>
            <w:tcW w:w="2703" w:type="pct"/>
            <w:tcBorders>
              <w:top w:val="single" w:sz="8" w:space="0" w:color="auto"/>
              <w:bottom w:val="single" w:sz="12" w:space="0" w:color="auto"/>
            </w:tcBorders>
          </w:tcPr>
          <w:p w14:paraId="19D07282" w14:textId="6DCC74EB" w:rsidR="00A96B21" w:rsidRPr="00670887" w:rsidRDefault="00A96B21" w:rsidP="006815FC">
            <w:pPr>
              <w:ind w:left="2584"/>
              <w:jc w:val="left"/>
              <w:rPr>
                <w:szCs w:val="20"/>
              </w:rPr>
            </w:pPr>
            <w:r w:rsidRPr="00670887">
              <w:t>Distr. general</w:t>
            </w:r>
          </w:p>
          <w:p w14:paraId="6CC5B014" w14:textId="1823BA94" w:rsidR="00A96B21" w:rsidRPr="00670887" w:rsidRDefault="00C1267A" w:rsidP="006815FC">
            <w:pPr>
              <w:ind w:left="2584"/>
              <w:jc w:val="left"/>
              <w:rPr>
                <w:szCs w:val="20"/>
              </w:rPr>
            </w:pPr>
            <w:r w:rsidRPr="00670887">
              <w:t>29 de mayo de 2024</w:t>
            </w:r>
          </w:p>
          <w:p w14:paraId="46F800F8" w14:textId="77777777" w:rsidR="00670887" w:rsidRPr="00670887" w:rsidRDefault="00A96B21" w:rsidP="006815FC">
            <w:pPr>
              <w:ind w:left="2584"/>
              <w:jc w:val="left"/>
            </w:pPr>
            <w:r w:rsidRPr="00670887">
              <w:t>Español</w:t>
            </w:r>
          </w:p>
          <w:p w14:paraId="76D3643C" w14:textId="41752ACE" w:rsidR="00A96B21" w:rsidRPr="00670887" w:rsidRDefault="00A96B21" w:rsidP="006815FC">
            <w:pPr>
              <w:ind w:left="2584"/>
              <w:jc w:val="left"/>
              <w:rPr>
                <w:szCs w:val="20"/>
              </w:rPr>
            </w:pPr>
            <w:r w:rsidRPr="00670887">
              <w:t>Original: inglés</w:t>
            </w:r>
          </w:p>
          <w:p w14:paraId="26B95632" w14:textId="77777777" w:rsidR="00A96B21" w:rsidRPr="00670887" w:rsidRDefault="00A96B21" w:rsidP="0019402C"/>
        </w:tc>
      </w:tr>
    </w:tbl>
    <w:p w14:paraId="5C49F89F" w14:textId="19DB9C5A" w:rsidR="00874541" w:rsidRPr="00670887" w:rsidRDefault="00DE4B36" w:rsidP="00A96B21">
      <w:pPr>
        <w:pStyle w:val="Cornernotation"/>
        <w:rPr>
          <w:bCs/>
        </w:rPr>
      </w:pPr>
      <w:r w:rsidRPr="00670887">
        <w:t>Órgano Subsidiario sobre la Aplicación</w:t>
      </w:r>
    </w:p>
    <w:p w14:paraId="1CD3CAD9" w14:textId="1E04E055" w:rsidR="00A96B21" w:rsidRPr="00670887" w:rsidRDefault="00DE4B36" w:rsidP="00A96B21">
      <w:pPr>
        <w:pStyle w:val="Cornernotation"/>
        <w:rPr>
          <w:bCs/>
          <w:sz w:val="22"/>
          <w:szCs w:val="22"/>
        </w:rPr>
      </w:pPr>
      <w:r w:rsidRPr="00670887">
        <w:rPr>
          <w:sz w:val="22"/>
        </w:rPr>
        <w:t xml:space="preserve">Cuarta reunión </w:t>
      </w:r>
    </w:p>
    <w:p w14:paraId="0419AD91" w14:textId="3C48B0D5" w:rsidR="00A96B21" w:rsidRPr="00670887" w:rsidRDefault="00A87D2A" w:rsidP="00A96B21">
      <w:pPr>
        <w:pStyle w:val="Venuedate"/>
      </w:pPr>
      <w:r w:rsidRPr="00670887">
        <w:t xml:space="preserve">Nairobi, 21 a 29 de mayo de 2024 </w:t>
      </w:r>
    </w:p>
    <w:p w14:paraId="68245922" w14:textId="6F075C98" w:rsidR="00A96B21" w:rsidRPr="00670887" w:rsidRDefault="00290682" w:rsidP="00A96B21">
      <w:pPr>
        <w:pStyle w:val="Cornernotation-Item"/>
        <w:rPr>
          <w:b w:val="0"/>
          <w:bCs w:val="0"/>
        </w:rPr>
      </w:pPr>
      <w:r w:rsidRPr="00670887">
        <w:rPr>
          <w:b w:val="0"/>
        </w:rPr>
        <w:t xml:space="preserve">Temas 11 y 12 del programa </w:t>
      </w:r>
    </w:p>
    <w:p w14:paraId="6FF6C850" w14:textId="7B052886" w:rsidR="00BF2F95" w:rsidRPr="00670887" w:rsidRDefault="00BF2F95" w:rsidP="00B51883">
      <w:pPr>
        <w:pStyle w:val="AFCorNotBold"/>
        <w:jc w:val="left"/>
      </w:pPr>
      <w:r w:rsidRPr="00670887">
        <w:t>Revisión de los programas de trabajo del Convenio</w:t>
      </w:r>
    </w:p>
    <w:p w14:paraId="5B2FCB0A" w14:textId="0674D4A1" w:rsidR="000F17A3" w:rsidRPr="00670887" w:rsidRDefault="000F17A3" w:rsidP="00B51883">
      <w:pPr>
        <w:pStyle w:val="AFCorNotBold"/>
        <w:spacing w:before="120"/>
        <w:jc w:val="left"/>
      </w:pPr>
      <w:r w:rsidRPr="00670887">
        <w:t>Programa de trabajo plurianual de la Conferencia de las Partes</w:t>
      </w:r>
    </w:p>
    <w:bookmarkEnd w:id="0"/>
    <w:p w14:paraId="4A88E36E" w14:textId="77777777" w:rsidR="008B3043" w:rsidRPr="00670887" w:rsidRDefault="008B3043" w:rsidP="000B6C5E">
      <w:pPr>
        <w:pStyle w:val="CBDTitle"/>
      </w:pPr>
      <w:r w:rsidRPr="00670887">
        <w:t>Recomendación adoptada por el Órgano Subsidiario sobre la Aplicación el 29 de mayo de 2024</w:t>
      </w:r>
    </w:p>
    <w:p w14:paraId="1DF47B42" w14:textId="6F8D46C9" w:rsidR="00A96B21" w:rsidRPr="00670887" w:rsidRDefault="00DE76A2" w:rsidP="00701D57">
      <w:pPr>
        <w:pStyle w:val="CBDTitle"/>
      </w:pPr>
      <w:r w:rsidRPr="00670887">
        <w:t>4/13.</w:t>
      </w:r>
      <w:r w:rsidRPr="00670887">
        <w:tab/>
        <w:t>Programa de trabajo plurianual de la Conferencia de las Partes</w:t>
      </w:r>
    </w:p>
    <w:p w14:paraId="359A574E" w14:textId="7631A26F" w:rsidR="00D92FF5" w:rsidRPr="00670887" w:rsidRDefault="00F8364E" w:rsidP="00FE536D">
      <w:pPr>
        <w:pStyle w:val="Para1"/>
        <w:numPr>
          <w:ilvl w:val="0"/>
          <w:numId w:val="0"/>
        </w:numPr>
        <w:ind w:left="567" w:firstLine="567"/>
        <w:rPr>
          <w:i/>
          <w:iCs/>
          <w:szCs w:val="22"/>
        </w:rPr>
      </w:pPr>
      <w:r w:rsidRPr="00670887">
        <w:rPr>
          <w:i/>
          <w:color w:val="000000"/>
        </w:rPr>
        <w:t>El Órgano Subsidiario sobre la Aplicación</w:t>
      </w:r>
      <w:r w:rsidRPr="00670887">
        <w:rPr>
          <w:color w:val="000000"/>
        </w:rPr>
        <w:t>,</w:t>
      </w:r>
    </w:p>
    <w:p w14:paraId="34ACDDBC" w14:textId="211E5C8E" w:rsidR="00D92FF5" w:rsidRPr="00670887" w:rsidRDefault="00D92FF5" w:rsidP="00FE536D">
      <w:pPr>
        <w:pStyle w:val="Para1"/>
        <w:numPr>
          <w:ilvl w:val="0"/>
          <w:numId w:val="0"/>
        </w:numPr>
        <w:ind w:left="567" w:firstLine="567"/>
        <w:rPr>
          <w:color w:val="000000"/>
          <w:szCs w:val="22"/>
        </w:rPr>
      </w:pPr>
      <w:r w:rsidRPr="00670887">
        <w:rPr>
          <w:i/>
          <w:color w:val="000000"/>
        </w:rPr>
        <w:t xml:space="preserve">Tomando nota </w:t>
      </w:r>
      <w:r w:rsidRPr="00670887">
        <w:rPr>
          <w:color w:val="000000"/>
        </w:rPr>
        <w:t>del párrafo 9 de la decisión 15/4 de la Conferencia de las Partes, de 19 de diciembre de 2022,</w:t>
      </w:r>
    </w:p>
    <w:p w14:paraId="66C33283" w14:textId="7EB2CDF3" w:rsidR="00D92FF5" w:rsidRPr="00670887" w:rsidRDefault="00D92FF5" w:rsidP="00FE536D">
      <w:pPr>
        <w:pStyle w:val="Para1"/>
        <w:numPr>
          <w:ilvl w:val="0"/>
          <w:numId w:val="0"/>
        </w:numPr>
        <w:ind w:left="567" w:firstLine="567"/>
        <w:rPr>
          <w:color w:val="000000"/>
          <w:szCs w:val="22"/>
        </w:rPr>
      </w:pPr>
      <w:r w:rsidRPr="00670887">
        <w:rPr>
          <w:i/>
        </w:rPr>
        <w:t xml:space="preserve">Tomando nota asimismo </w:t>
      </w:r>
      <w:r w:rsidRPr="00670887">
        <w:t>de la recomendación 26/2 del Órgano Subsidiario de Asesoramiento Científico, Técnico y Tecnológico, de 18 de mayo de 2024, y de su complementariedad con la presente recomendación,</w:t>
      </w:r>
    </w:p>
    <w:p w14:paraId="632F941D" w14:textId="0A8094F4" w:rsidR="00FE3AB8" w:rsidRPr="00670887" w:rsidRDefault="00922792" w:rsidP="00FE536D">
      <w:pPr>
        <w:pStyle w:val="NormalWeb"/>
        <w:spacing w:before="120" w:beforeAutospacing="0" w:after="120" w:afterAutospacing="0"/>
        <w:ind w:left="567" w:firstLine="567"/>
        <w:rPr>
          <w:sz w:val="22"/>
          <w:szCs w:val="22"/>
        </w:rPr>
      </w:pPr>
      <w:r w:rsidRPr="00670887">
        <w:rPr>
          <w:i/>
          <w:sz w:val="22"/>
        </w:rPr>
        <w:t>Recomienda</w:t>
      </w:r>
      <w:r w:rsidRPr="00670887">
        <w:rPr>
          <w:sz w:val="22"/>
        </w:rPr>
        <w:t xml:space="preserve"> a la Conferencia de las Partes que en su 16ª reunión adopte una decisión del siguiente tenor:</w:t>
      </w:r>
    </w:p>
    <w:p w14:paraId="5905A258" w14:textId="3C3278D6" w:rsidR="00425593" w:rsidRPr="00670887" w:rsidRDefault="009166E1" w:rsidP="006F10E5">
      <w:pPr>
        <w:tabs>
          <w:tab w:val="left" w:pos="1701"/>
        </w:tabs>
        <w:spacing w:before="120" w:after="120"/>
        <w:ind w:left="1134" w:firstLine="567"/>
        <w:rPr>
          <w:iCs/>
          <w:kern w:val="22"/>
          <w:szCs w:val="22"/>
        </w:rPr>
      </w:pPr>
      <w:r w:rsidRPr="00670887">
        <w:rPr>
          <w:rStyle w:val="Refdenotaalpie"/>
          <w:i/>
          <w:kern w:val="22"/>
          <w:szCs w:val="22"/>
        </w:rPr>
        <w:footnoteReference w:customMarkFollows="1" w:id="2"/>
        <w:t>*</w:t>
      </w:r>
      <w:r w:rsidRPr="00670887">
        <w:t>[</w:t>
      </w:r>
      <w:r w:rsidRPr="00670887">
        <w:rPr>
          <w:i/>
        </w:rPr>
        <w:t>La Conferencia de las Partes</w:t>
      </w:r>
      <w:r w:rsidRPr="00670887">
        <w:t>,</w:t>
      </w:r>
    </w:p>
    <w:p w14:paraId="4832006E" w14:textId="3F181FD0" w:rsidR="00425593" w:rsidRPr="00670887" w:rsidRDefault="008F689D" w:rsidP="00FE536D">
      <w:pPr>
        <w:tabs>
          <w:tab w:val="left" w:pos="1701"/>
        </w:tabs>
        <w:spacing w:before="120" w:after="120"/>
        <w:ind w:left="1134" w:firstLine="567"/>
        <w:rPr>
          <w:iCs/>
          <w:snapToGrid w:val="0"/>
          <w:kern w:val="22"/>
          <w:szCs w:val="22"/>
        </w:rPr>
      </w:pPr>
      <w:r w:rsidRPr="00670887">
        <w:rPr>
          <w:i/>
        </w:rPr>
        <w:t>Recordando</w:t>
      </w:r>
      <w:r w:rsidRPr="00670887">
        <w:t xml:space="preserve"> su decisión </w:t>
      </w:r>
      <w:hyperlink r:id="rId14" w:history="1">
        <w:r w:rsidRPr="00670887">
          <w:rPr>
            <w:rStyle w:val="Hipervnculo"/>
          </w:rPr>
          <w:t>15/4</w:t>
        </w:r>
      </w:hyperlink>
      <w:r w:rsidRPr="00670887">
        <w:t>, de 19 de diciembre de 2022, en la que decidió que el Marco Mundial de Biodiversidad de Kunming-Montreal</w:t>
      </w:r>
      <w:r w:rsidR="00CA4714" w:rsidRPr="00670887">
        <w:rPr>
          <w:rStyle w:val="Refdenotaalpie"/>
          <w:iCs/>
          <w:kern w:val="22"/>
          <w:szCs w:val="22"/>
        </w:rPr>
        <w:footnoteReference w:id="3"/>
      </w:r>
      <w:r w:rsidRPr="00670887">
        <w:t xml:space="preserve"> habría de utilizarse como un plan estratégico para la aplicación del Convenio sobre la Diversidad Biológica</w:t>
      </w:r>
      <w:r w:rsidR="00927622" w:rsidRPr="00670887">
        <w:rPr>
          <w:rStyle w:val="Refdenotaalpie"/>
          <w:iCs/>
          <w:kern w:val="22"/>
          <w:szCs w:val="22"/>
        </w:rPr>
        <w:footnoteReference w:id="4"/>
      </w:r>
      <w:r w:rsidRPr="00670887">
        <w:t xml:space="preserve"> y sus Protocolos, sus órganos y su Secretaría en el período 2022–2030,</w:t>
      </w:r>
    </w:p>
    <w:p w14:paraId="45F475DA" w14:textId="7BA8B4BA" w:rsidR="00A1673D" w:rsidRPr="00670887" w:rsidRDefault="00A1673D" w:rsidP="00FE536D">
      <w:pPr>
        <w:tabs>
          <w:tab w:val="left" w:pos="1701"/>
        </w:tabs>
        <w:spacing w:before="120" w:after="120"/>
        <w:ind w:left="1134" w:firstLine="567"/>
      </w:pPr>
      <w:r w:rsidRPr="00670887">
        <w:rPr>
          <w:i/>
        </w:rPr>
        <w:t xml:space="preserve">Recordando también </w:t>
      </w:r>
      <w:r w:rsidRPr="00670887">
        <w:t>su decisión </w:t>
      </w:r>
      <w:hyperlink r:id="rId15" w:history="1">
        <w:r w:rsidRPr="00670887">
          <w:rPr>
            <w:rStyle w:val="Hipervnculo"/>
          </w:rPr>
          <w:t>15/33</w:t>
        </w:r>
      </w:hyperlink>
      <w:r w:rsidRPr="00670887">
        <w:t xml:space="preserve">, de 19 de diciembre de 2022, en la que hizo notar que examinaría los progresos realizados en la aplicación del Convenio y la implementación del Marco en cada una de sus reuniones hasta 2030, y decidió que la elaboración de nuevas orientaciones para la formulación de políticas y la aplicación debería apoyar la consecución de los objetivos y metas establecidos en el Marco, el resultado del análisis mundial de la información de las estrategias y planes de acción nacionales en materia de biodiversidad, incluidas metas nacionales, y la revisión mundial del progreso colectivo en la aplicación, así </w:t>
      </w:r>
      <w:r w:rsidRPr="00670887">
        <w:lastRenderedPageBreak/>
        <w:t>como la nueva información que podría estar disponible, por ejemplo, mediante evaluaciones científicas,</w:t>
      </w:r>
    </w:p>
    <w:p w14:paraId="69B33FA2" w14:textId="24A9C940" w:rsidR="00425593" w:rsidRPr="00670887" w:rsidRDefault="00E43E6A" w:rsidP="00FE536D">
      <w:pPr>
        <w:tabs>
          <w:tab w:val="left" w:pos="2268"/>
        </w:tabs>
        <w:spacing w:before="120" w:after="120"/>
        <w:ind w:left="1134" w:firstLine="567"/>
        <w:rPr>
          <w:kern w:val="22"/>
        </w:rPr>
      </w:pPr>
      <w:r w:rsidRPr="00670887">
        <w:rPr>
          <w:color w:val="000000"/>
        </w:rPr>
        <w:t>1.</w:t>
      </w:r>
      <w:r w:rsidRPr="00670887">
        <w:rPr>
          <w:color w:val="000000"/>
        </w:rPr>
        <w:tab/>
      </w:r>
      <w:r w:rsidRPr="00670887">
        <w:rPr>
          <w:i/>
        </w:rPr>
        <w:t>Decide</w:t>
      </w:r>
      <w:r w:rsidRPr="00670887">
        <w:t xml:space="preserve"> actualizar su programa de trabajo plurianual hasta 2030 con arreglo a la lista de cuestiones que figura en el anexo de la presente decisión;</w:t>
      </w:r>
    </w:p>
    <w:p w14:paraId="7E584FDD" w14:textId="6940DA50" w:rsidR="00281A8D" w:rsidRPr="00670887" w:rsidRDefault="00281A8D" w:rsidP="00FE536D">
      <w:pPr>
        <w:tabs>
          <w:tab w:val="left" w:pos="2268"/>
        </w:tabs>
        <w:spacing w:before="120" w:after="120"/>
        <w:ind w:left="1134" w:firstLine="567"/>
        <w:rPr>
          <w:iCs/>
          <w:snapToGrid w:val="0"/>
          <w:kern w:val="22"/>
          <w:szCs w:val="22"/>
        </w:rPr>
      </w:pPr>
      <w:r w:rsidRPr="00670887">
        <w:rPr>
          <w:color w:val="000000"/>
        </w:rPr>
        <w:t>2.</w:t>
      </w:r>
      <w:r w:rsidRPr="00670887">
        <w:rPr>
          <w:i/>
          <w:color w:val="000000"/>
        </w:rPr>
        <w:tab/>
      </w:r>
      <w:r w:rsidRPr="00670887">
        <w:rPr>
          <w:i/>
        </w:rPr>
        <w:t xml:space="preserve">Decide también </w:t>
      </w:r>
      <w:r w:rsidRPr="00670887">
        <w:t>revisar y actualizar, en sus reuniones 17ª y 18ª, los programas de trabajo y las cuestiones transversales del Convenio sobre la Diversidad Biológica, centrándose en su armonización con el Marco Mundial de Biodiversidad de Kunming-Montreal, y abordar un número limitado de dichos programas y cuestiones en cada una de sus reuniones;</w:t>
      </w:r>
    </w:p>
    <w:p w14:paraId="43879EA0" w14:textId="780424B2" w:rsidR="00B70F30" w:rsidRPr="00670887" w:rsidRDefault="002B69B6" w:rsidP="00FE536D">
      <w:pPr>
        <w:tabs>
          <w:tab w:val="left" w:pos="2268"/>
        </w:tabs>
        <w:spacing w:before="120" w:after="120"/>
        <w:ind w:left="1134" w:firstLine="567"/>
        <w:rPr>
          <w:snapToGrid w:val="0"/>
          <w:szCs w:val="22"/>
        </w:rPr>
      </w:pPr>
      <w:r w:rsidRPr="00670887">
        <w:rPr>
          <w:snapToGrid w:val="0"/>
        </w:rPr>
        <w:t>3.</w:t>
      </w:r>
      <w:r w:rsidRPr="00670887">
        <w:rPr>
          <w:snapToGrid w:val="0"/>
        </w:rPr>
        <w:tab/>
      </w:r>
      <w:r w:rsidRPr="00670887">
        <w:rPr>
          <w:i/>
          <w:snapToGrid w:val="0"/>
        </w:rPr>
        <w:t>Decide asimismo</w:t>
      </w:r>
      <w:r w:rsidRPr="00670887">
        <w:rPr>
          <w:snapToGrid w:val="0"/>
        </w:rPr>
        <w:t xml:space="preserve"> abordar, en cada una de sus reuniones, los temas permanentes conforme a decisiones anteriores, así como cualquier otra cuestión que surja de sus decisiones en relación con programas de trabajo y cuestiones transversales concretos, mantener la flexibilidad suficiente en su programa de trabajo plurianual a fin incorporar las cuestiones incipientes y oportunidades que pueda determinar, y, a tal fin, revisar su programa de trabajo plurianual en sus reuniones </w:t>
      </w:r>
      <w:r w:rsidRPr="00670887">
        <w:t>17ª y 18ª, a fin de permitir los ajustes necesarios.</w:t>
      </w:r>
    </w:p>
    <w:p w14:paraId="6D8A8801" w14:textId="5200C79C" w:rsidR="00817A82" w:rsidRPr="00670887" w:rsidRDefault="00817A82" w:rsidP="00861050">
      <w:pPr>
        <w:keepNext/>
        <w:spacing w:before="240"/>
        <w:ind w:left="567"/>
        <w:jc w:val="left"/>
        <w:rPr>
          <w:b/>
          <w:bCs/>
          <w:iCs/>
          <w:sz w:val="24"/>
        </w:rPr>
      </w:pPr>
      <w:r w:rsidRPr="00670887">
        <w:rPr>
          <w:b/>
          <w:sz w:val="24"/>
        </w:rPr>
        <w:t>Anexo</w:t>
      </w:r>
    </w:p>
    <w:p w14:paraId="167ACF0C" w14:textId="6166BDE5" w:rsidR="007C1B62" w:rsidRPr="00670887" w:rsidRDefault="00802FCB" w:rsidP="00701D57">
      <w:pPr>
        <w:pStyle w:val="Ttulo"/>
        <w:spacing w:before="60" w:after="60"/>
        <w:jc w:val="left"/>
        <w:rPr>
          <w:sz w:val="24"/>
          <w:szCs w:val="24"/>
        </w:rPr>
      </w:pPr>
      <w:r w:rsidRPr="00670887">
        <w:rPr>
          <w:sz w:val="24"/>
        </w:rPr>
        <w:t>Lista de las principales cuestiones que deberán abordarse en cada reunión de la Conferencia de las Partes en el Convenio sobre la Diversidad Biológica durante el período 2023-2030</w:t>
      </w:r>
    </w:p>
    <w:tbl>
      <w:tblPr>
        <w:tblpPr w:leftFromText="180" w:rightFromText="180" w:vertAnchor="text" w:horzAnchor="margin" w:tblpY="299"/>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7088"/>
      </w:tblGrid>
      <w:tr w:rsidR="00817A82" w:rsidRPr="00670887" w14:paraId="71E84867" w14:textId="77777777" w:rsidTr="00701D57">
        <w:trPr>
          <w:tblHeader/>
        </w:trPr>
        <w:tc>
          <w:tcPr>
            <w:tcW w:w="2405" w:type="dxa"/>
            <w:tcBorders>
              <w:top w:val="single" w:sz="4" w:space="0" w:color="auto"/>
              <w:left w:val="single" w:sz="4" w:space="0" w:color="auto"/>
              <w:bottom w:val="single" w:sz="4" w:space="0" w:color="auto"/>
              <w:right w:val="single" w:sz="4" w:space="0" w:color="auto"/>
            </w:tcBorders>
            <w:hideMark/>
          </w:tcPr>
          <w:p w14:paraId="21F6AB38" w14:textId="05855765" w:rsidR="00817A82" w:rsidRPr="00670887" w:rsidRDefault="00817A82" w:rsidP="00BA2200">
            <w:pPr>
              <w:spacing w:before="60" w:after="60"/>
              <w:jc w:val="left"/>
              <w:rPr>
                <w:bCs/>
                <w:i/>
                <w:iCs/>
                <w:sz w:val="20"/>
                <w:szCs w:val="22"/>
              </w:rPr>
            </w:pPr>
            <w:r w:rsidRPr="00670887">
              <w:rPr>
                <w:i/>
                <w:sz w:val="20"/>
              </w:rPr>
              <w:t>Reunión de la Conferencia de las Partes</w:t>
            </w:r>
          </w:p>
        </w:tc>
        <w:tc>
          <w:tcPr>
            <w:tcW w:w="7088" w:type="dxa"/>
            <w:tcBorders>
              <w:top w:val="single" w:sz="4" w:space="0" w:color="auto"/>
              <w:left w:val="single" w:sz="4" w:space="0" w:color="auto"/>
              <w:bottom w:val="single" w:sz="4" w:space="0" w:color="auto"/>
              <w:right w:val="single" w:sz="4" w:space="0" w:color="auto"/>
            </w:tcBorders>
            <w:hideMark/>
          </w:tcPr>
          <w:p w14:paraId="0F13491B" w14:textId="77777777" w:rsidR="00817A82" w:rsidRPr="00670887" w:rsidRDefault="00817A82" w:rsidP="009C52FD">
            <w:pPr>
              <w:spacing w:before="60" w:after="60"/>
              <w:jc w:val="left"/>
              <w:rPr>
                <w:bCs/>
                <w:i/>
                <w:iCs/>
                <w:sz w:val="20"/>
                <w:szCs w:val="22"/>
              </w:rPr>
            </w:pPr>
            <w:r w:rsidRPr="00670887">
              <w:rPr>
                <w:i/>
                <w:sz w:val="20"/>
              </w:rPr>
              <w:t>Cuestiones estratégicas</w:t>
            </w:r>
          </w:p>
        </w:tc>
      </w:tr>
      <w:tr w:rsidR="00817A82" w:rsidRPr="00670887" w14:paraId="0DBE8183" w14:textId="77777777" w:rsidTr="00701D57">
        <w:tc>
          <w:tcPr>
            <w:tcW w:w="2405" w:type="dxa"/>
            <w:tcBorders>
              <w:top w:val="single" w:sz="4" w:space="0" w:color="auto"/>
              <w:left w:val="single" w:sz="4" w:space="0" w:color="auto"/>
              <w:bottom w:val="single" w:sz="4" w:space="0" w:color="auto"/>
              <w:right w:val="single" w:sz="4" w:space="0" w:color="auto"/>
            </w:tcBorders>
          </w:tcPr>
          <w:p w14:paraId="199FAFC0" w14:textId="1CF04C8C" w:rsidR="00817A82" w:rsidRPr="00670887" w:rsidRDefault="00024F92" w:rsidP="00BA2200">
            <w:pPr>
              <w:spacing w:before="60" w:after="60"/>
              <w:jc w:val="left"/>
              <w:rPr>
                <w:sz w:val="20"/>
                <w:szCs w:val="22"/>
              </w:rPr>
            </w:pPr>
            <w:r w:rsidRPr="00670887">
              <w:rPr>
                <w:sz w:val="20"/>
              </w:rPr>
              <w:t>17ª reunión (2026)</w:t>
            </w:r>
          </w:p>
        </w:tc>
        <w:tc>
          <w:tcPr>
            <w:tcW w:w="7088" w:type="dxa"/>
            <w:tcBorders>
              <w:top w:val="single" w:sz="4" w:space="0" w:color="auto"/>
              <w:left w:val="single" w:sz="4" w:space="0" w:color="auto"/>
              <w:bottom w:val="single" w:sz="4" w:space="0" w:color="auto"/>
              <w:right w:val="single" w:sz="4" w:space="0" w:color="auto"/>
            </w:tcBorders>
          </w:tcPr>
          <w:p w14:paraId="1FFDB3A6" w14:textId="4735FB35" w:rsidR="000F49DC" w:rsidRPr="00670887" w:rsidRDefault="00567AFA" w:rsidP="00BA2200">
            <w:pPr>
              <w:spacing w:before="60" w:after="60"/>
              <w:ind w:left="360" w:hanging="360"/>
              <w:jc w:val="left"/>
              <w:rPr>
                <w:i/>
                <w:iCs/>
                <w:snapToGrid w:val="0"/>
                <w:sz w:val="20"/>
                <w:szCs w:val="22"/>
              </w:rPr>
            </w:pPr>
            <w:r w:rsidRPr="00670887">
              <w:rPr>
                <w:rFonts w:asciiTheme="majorBidi" w:hAnsiTheme="majorBidi"/>
                <w:sz w:val="20"/>
              </w:rPr>
              <w:t>a)</w:t>
            </w:r>
            <w:r w:rsidRPr="00670887">
              <w:rPr>
                <w:rFonts w:asciiTheme="majorBidi" w:hAnsiTheme="majorBidi"/>
                <w:sz w:val="20"/>
              </w:rPr>
              <w:tab/>
            </w:r>
            <w:r w:rsidRPr="00670887">
              <w:rPr>
                <w:sz w:val="20"/>
              </w:rPr>
              <w:t>Análisis mundial de la información contenida en las estrategias y planes de acción nacionales en materia de biodiversidad, incluidas metas nacionales, para evaluar la contribución al Marco Mundial de Biodiversidad de Kunming-Montreal;</w:t>
            </w:r>
          </w:p>
          <w:p w14:paraId="7B1F102C" w14:textId="7910BABB" w:rsidR="00E526DF" w:rsidRPr="00670887" w:rsidRDefault="00E526DF" w:rsidP="00BA2200">
            <w:pPr>
              <w:spacing w:before="60" w:after="60"/>
              <w:ind w:left="360" w:hanging="360"/>
              <w:jc w:val="left"/>
              <w:rPr>
                <w:rFonts w:ascii="Symbol" w:hAnsi="Symbol"/>
                <w:sz w:val="20"/>
              </w:rPr>
            </w:pPr>
            <w:r w:rsidRPr="00670887">
              <w:rPr>
                <w:sz w:val="20"/>
              </w:rPr>
              <w:t>b)</w:t>
            </w:r>
            <w:r w:rsidRPr="00670887">
              <w:rPr>
                <w:sz w:val="20"/>
              </w:rPr>
              <w:tab/>
              <w:t>Revisión mundial de la implementación del Marco y los medios de implementación conexos sobre la base, entre otras cosas, de los séptimos informes nacionales</w:t>
            </w:r>
            <w:r w:rsidRPr="00670887">
              <w:rPr>
                <w:i/>
                <w:sz w:val="20"/>
                <w:vertAlign w:val="superscript"/>
              </w:rPr>
              <w:t>a</w:t>
            </w:r>
            <w:r w:rsidRPr="00670887">
              <w:rPr>
                <w:sz w:val="20"/>
              </w:rPr>
              <w:t>;</w:t>
            </w:r>
          </w:p>
          <w:p w14:paraId="31AEC05D" w14:textId="3DA59E28" w:rsidR="00291EC3" w:rsidRPr="00670887" w:rsidRDefault="00291EC3" w:rsidP="00BA2200">
            <w:pPr>
              <w:spacing w:before="60" w:after="60"/>
              <w:ind w:left="360" w:hanging="360"/>
              <w:jc w:val="left"/>
              <w:rPr>
                <w:color w:val="000000"/>
                <w:sz w:val="20"/>
                <w:szCs w:val="20"/>
              </w:rPr>
            </w:pPr>
            <w:r w:rsidRPr="00670887">
              <w:rPr>
                <w:sz w:val="20"/>
              </w:rPr>
              <w:t>c)</w:t>
            </w:r>
            <w:r w:rsidRPr="00670887">
              <w:rPr>
                <w:sz w:val="20"/>
              </w:rPr>
              <w:tab/>
              <w:t>Revisión de la implementación del marco de seguimiento del Marco Mundial de Biodiversidad de Kunming-Montreal</w:t>
            </w:r>
            <w:r w:rsidRPr="00670887">
              <w:rPr>
                <w:i/>
                <w:sz w:val="20"/>
                <w:vertAlign w:val="superscript"/>
              </w:rPr>
              <w:t>b</w:t>
            </w:r>
            <w:r w:rsidRPr="00670887">
              <w:rPr>
                <w:sz w:val="20"/>
              </w:rPr>
              <w:t>;</w:t>
            </w:r>
          </w:p>
          <w:p w14:paraId="37D4BA88" w14:textId="7A49DA22" w:rsidR="00817A82" w:rsidRPr="00670887" w:rsidRDefault="00567AFA" w:rsidP="00BA2200">
            <w:pPr>
              <w:spacing w:before="60" w:after="60"/>
              <w:ind w:left="360" w:hanging="360"/>
              <w:jc w:val="left"/>
              <w:rPr>
                <w:snapToGrid w:val="0"/>
                <w:sz w:val="20"/>
                <w:szCs w:val="22"/>
              </w:rPr>
            </w:pPr>
            <w:r w:rsidRPr="00670887">
              <w:rPr>
                <w:rFonts w:ascii="Symbol" w:hAnsi="Symbol"/>
                <w:snapToGrid w:val="0"/>
                <w:sz w:val="20"/>
              </w:rPr>
              <w:t>(</w:t>
            </w:r>
            <w:r w:rsidRPr="00670887">
              <w:rPr>
                <w:rFonts w:asciiTheme="majorBidi" w:hAnsiTheme="majorBidi"/>
                <w:snapToGrid w:val="0"/>
                <w:sz w:val="20"/>
              </w:rPr>
              <w:t>d</w:t>
            </w:r>
            <w:r w:rsidRPr="00670887">
              <w:rPr>
                <w:rFonts w:ascii="Symbol" w:hAnsi="Symbol"/>
                <w:snapToGrid w:val="0"/>
                <w:sz w:val="20"/>
              </w:rPr>
              <w:t>)</w:t>
            </w:r>
            <w:r w:rsidRPr="00670887">
              <w:rPr>
                <w:rFonts w:ascii="Symbol" w:hAnsi="Symbol"/>
                <w:snapToGrid w:val="0"/>
                <w:sz w:val="20"/>
              </w:rPr>
              <w:tab/>
            </w:r>
            <w:r w:rsidRPr="00670887">
              <w:rPr>
                <w:snapToGrid w:val="0"/>
                <w:sz w:val="20"/>
              </w:rPr>
              <w:t>Medidas estratégicas para mejorar la aplicación del Convenio sobre la Diversidad Biológica y la implementación del Marco, entre otras cosas en relación con los medios de implementación;</w:t>
            </w:r>
          </w:p>
          <w:p w14:paraId="532128D2" w14:textId="7CF30C13" w:rsidR="00104949" w:rsidRPr="00670887" w:rsidRDefault="00983057" w:rsidP="00BA2200">
            <w:pPr>
              <w:spacing w:before="60" w:after="60"/>
              <w:ind w:left="360" w:hanging="360"/>
              <w:jc w:val="left"/>
              <w:rPr>
                <w:snapToGrid w:val="0"/>
                <w:sz w:val="20"/>
                <w:szCs w:val="20"/>
              </w:rPr>
            </w:pPr>
            <w:r w:rsidRPr="00670887">
              <w:rPr>
                <w:color w:val="000000"/>
                <w:sz w:val="20"/>
              </w:rPr>
              <w:t>e)</w:t>
            </w:r>
            <w:r w:rsidRPr="00670887">
              <w:rPr>
                <w:color w:val="000000"/>
                <w:sz w:val="20"/>
              </w:rPr>
              <w:tab/>
              <w:t>Seguir trabajando en herramientas y orientaciones relacionadas con la integración de la biodiversidad</w:t>
            </w:r>
            <w:r w:rsidRPr="00670887">
              <w:rPr>
                <w:i/>
                <w:color w:val="000000"/>
                <w:sz w:val="20"/>
                <w:vertAlign w:val="superscript"/>
              </w:rPr>
              <w:t>c</w:t>
            </w:r>
            <w:r w:rsidRPr="00670887">
              <w:rPr>
                <w:color w:val="000000"/>
                <w:sz w:val="20"/>
              </w:rPr>
              <w:t>;</w:t>
            </w:r>
          </w:p>
          <w:p w14:paraId="5605951F" w14:textId="3215EB0A" w:rsidR="004A1B66" w:rsidRPr="00670887" w:rsidRDefault="00CD4A98" w:rsidP="00BA2200">
            <w:pPr>
              <w:spacing w:before="60" w:after="60"/>
              <w:ind w:left="360" w:hanging="360"/>
              <w:jc w:val="left"/>
              <w:rPr>
                <w:snapToGrid w:val="0"/>
                <w:sz w:val="20"/>
              </w:rPr>
            </w:pPr>
            <w:r w:rsidRPr="00670887">
              <w:rPr>
                <w:sz w:val="20"/>
              </w:rPr>
              <w:t>f)</w:t>
            </w:r>
            <w:r w:rsidRPr="00670887">
              <w:rPr>
                <w:rFonts w:ascii="Symbol" w:hAnsi="Symbol"/>
                <w:sz w:val="20"/>
              </w:rPr>
              <w:tab/>
            </w:r>
            <w:r w:rsidRPr="00670887">
              <w:rPr>
                <w:sz w:val="20"/>
              </w:rPr>
              <w:t>Repercusiones para la labor del Convenio de los productos previstos de la Plataforma Intergubernamental Científico-Normativa sobre Diversidad Biológica y Servicios de los Ecosistemas, en particular:</w:t>
            </w:r>
          </w:p>
          <w:p w14:paraId="494C79FF" w14:textId="0DE6A4FE" w:rsidR="004A1B66" w:rsidRPr="00670887" w:rsidRDefault="00DE3162" w:rsidP="00BA2200">
            <w:pPr>
              <w:pStyle w:val="Para1"/>
              <w:numPr>
                <w:ilvl w:val="0"/>
                <w:numId w:val="0"/>
              </w:numPr>
              <w:tabs>
                <w:tab w:val="clear" w:pos="1134"/>
                <w:tab w:val="left" w:pos="2268"/>
              </w:tabs>
              <w:spacing w:before="60" w:after="60"/>
              <w:ind w:left="927" w:hanging="567"/>
              <w:jc w:val="left"/>
              <w:rPr>
                <w:sz w:val="20"/>
              </w:rPr>
            </w:pPr>
            <w:r w:rsidRPr="00670887">
              <w:rPr>
                <w:sz w:val="20"/>
              </w:rPr>
              <w:t>i)</w:t>
            </w:r>
            <w:r w:rsidRPr="00670887">
              <w:rPr>
                <w:sz w:val="20"/>
              </w:rPr>
              <w:tab/>
              <w:t>Evaluación temática sobre los vínculos entre la diversidad biológica, el agua, la alimentación y la salud (“evaluación de los nexos”);</w:t>
            </w:r>
          </w:p>
          <w:p w14:paraId="5A2FA4B6" w14:textId="030F8047" w:rsidR="004A1B66" w:rsidRPr="00670887" w:rsidRDefault="00DE3162" w:rsidP="00BA2200">
            <w:pPr>
              <w:pStyle w:val="Para1"/>
              <w:numPr>
                <w:ilvl w:val="0"/>
                <w:numId w:val="0"/>
              </w:numPr>
              <w:tabs>
                <w:tab w:val="clear" w:pos="1134"/>
                <w:tab w:val="left" w:pos="2268"/>
              </w:tabs>
              <w:spacing w:before="60" w:after="60"/>
              <w:ind w:left="927" w:hanging="567"/>
              <w:jc w:val="left"/>
              <w:rPr>
                <w:sz w:val="20"/>
              </w:rPr>
            </w:pPr>
            <w:r w:rsidRPr="00670887">
              <w:rPr>
                <w:sz w:val="20"/>
              </w:rPr>
              <w:t>ii)</w:t>
            </w:r>
            <w:r w:rsidRPr="00670887">
              <w:rPr>
                <w:sz w:val="20"/>
              </w:rPr>
              <w:tab/>
              <w:t>Evaluación temática de las causas subyacentes de la pérdida de la diversidad biológica y los factores determinantes del cambio transformador y las opciones para hacer realidad la Visión 2050 para la Diversidad Biológica;</w:t>
            </w:r>
          </w:p>
          <w:p w14:paraId="37CD6D6E" w14:textId="362EDC8C" w:rsidR="004B3474" w:rsidRPr="00670887" w:rsidRDefault="00DE3162" w:rsidP="00BA2200">
            <w:pPr>
              <w:pStyle w:val="Para1"/>
              <w:numPr>
                <w:ilvl w:val="0"/>
                <w:numId w:val="0"/>
              </w:numPr>
              <w:tabs>
                <w:tab w:val="clear" w:pos="1134"/>
                <w:tab w:val="left" w:pos="2268"/>
              </w:tabs>
              <w:spacing w:before="60" w:after="60"/>
              <w:ind w:left="927" w:hanging="567"/>
              <w:jc w:val="left"/>
              <w:rPr>
                <w:color w:val="000000"/>
                <w:sz w:val="20"/>
                <w:szCs w:val="20"/>
              </w:rPr>
            </w:pPr>
            <w:r w:rsidRPr="00670887">
              <w:rPr>
                <w:sz w:val="20"/>
              </w:rPr>
              <w:t>iii)</w:t>
            </w:r>
            <w:r w:rsidRPr="00670887">
              <w:rPr>
                <w:sz w:val="20"/>
              </w:rPr>
              <w:tab/>
              <w:t>Evaluación metodológica del impacto de las empresas en la diversidad biológica y las contribuciones de la naturaleza para las personas, y de su dependencia respecto de ellas;</w:t>
            </w:r>
          </w:p>
          <w:p w14:paraId="5D6C8141" w14:textId="1088D686" w:rsidR="00817A82" w:rsidRPr="00670887" w:rsidRDefault="0083187B" w:rsidP="00BA2200">
            <w:pPr>
              <w:spacing w:before="60" w:after="60"/>
              <w:ind w:left="360" w:hanging="360"/>
              <w:jc w:val="left"/>
              <w:rPr>
                <w:snapToGrid w:val="0"/>
                <w:sz w:val="20"/>
              </w:rPr>
            </w:pPr>
            <w:r w:rsidRPr="00670887">
              <w:rPr>
                <w:sz w:val="20"/>
              </w:rPr>
              <w:t>[g)</w:t>
            </w:r>
            <w:r w:rsidRPr="00670887">
              <w:rPr>
                <w:sz w:val="20"/>
              </w:rPr>
              <w:tab/>
              <w:t xml:space="preserve">Herramientas y orientaciones </w:t>
            </w:r>
            <w:r w:rsidRPr="00670887">
              <w:rPr>
                <w:snapToGrid w:val="0"/>
                <w:sz w:val="20"/>
              </w:rPr>
              <w:t>para apoyar la implementación del Marco</w:t>
            </w:r>
            <w:r w:rsidRPr="00670887">
              <w:rPr>
                <w:i/>
                <w:snapToGrid w:val="0"/>
                <w:sz w:val="20"/>
                <w:vertAlign w:val="superscript"/>
              </w:rPr>
              <w:t>d</w:t>
            </w:r>
            <w:r w:rsidRPr="00670887">
              <w:rPr>
                <w:snapToGrid w:val="0"/>
                <w:sz w:val="20"/>
              </w:rPr>
              <w:t>:</w:t>
            </w:r>
          </w:p>
          <w:p w14:paraId="42153165" w14:textId="2191621A" w:rsidR="00817A82" w:rsidRPr="00670887" w:rsidRDefault="00DE3162" w:rsidP="00BA2200">
            <w:pPr>
              <w:pStyle w:val="Para1"/>
              <w:numPr>
                <w:ilvl w:val="0"/>
                <w:numId w:val="0"/>
              </w:numPr>
              <w:tabs>
                <w:tab w:val="clear" w:pos="1134"/>
                <w:tab w:val="left" w:pos="2268"/>
              </w:tabs>
              <w:spacing w:before="60" w:after="60"/>
              <w:ind w:left="927" w:hanging="567"/>
              <w:jc w:val="left"/>
              <w:rPr>
                <w:sz w:val="20"/>
              </w:rPr>
            </w:pPr>
            <w:r w:rsidRPr="00670887">
              <w:rPr>
                <w:sz w:val="20"/>
              </w:rPr>
              <w:t>i)</w:t>
            </w:r>
            <w:r w:rsidRPr="00670887">
              <w:rPr>
                <w:sz w:val="20"/>
              </w:rPr>
              <w:tab/>
              <w:t xml:space="preserve">Una planificación espacial que tenga en cuenta la biodiversidad; </w:t>
            </w:r>
          </w:p>
          <w:p w14:paraId="22C53422" w14:textId="616D4F2B" w:rsidR="00817A82" w:rsidRPr="00670887" w:rsidRDefault="00DE3162" w:rsidP="00BA2200">
            <w:pPr>
              <w:pStyle w:val="Para1"/>
              <w:numPr>
                <w:ilvl w:val="0"/>
                <w:numId w:val="0"/>
              </w:numPr>
              <w:tabs>
                <w:tab w:val="clear" w:pos="1134"/>
                <w:tab w:val="left" w:pos="2268"/>
              </w:tabs>
              <w:spacing w:before="60" w:after="60"/>
              <w:ind w:left="927" w:hanging="567"/>
              <w:jc w:val="left"/>
              <w:rPr>
                <w:sz w:val="20"/>
              </w:rPr>
            </w:pPr>
            <w:r w:rsidRPr="00670887">
              <w:rPr>
                <w:sz w:val="20"/>
              </w:rPr>
              <w:lastRenderedPageBreak/>
              <w:t>ii)</w:t>
            </w:r>
            <w:r w:rsidRPr="00670887">
              <w:rPr>
                <w:sz w:val="20"/>
              </w:rPr>
              <w:tab/>
              <w:t>La contaminación y la biodiversidad;</w:t>
            </w:r>
          </w:p>
          <w:p w14:paraId="29CA40E4" w14:textId="3ECFA55A" w:rsidR="00817A82" w:rsidRPr="00670887" w:rsidRDefault="00DE3162" w:rsidP="00701D57">
            <w:pPr>
              <w:pStyle w:val="Para1"/>
              <w:numPr>
                <w:ilvl w:val="0"/>
                <w:numId w:val="0"/>
              </w:numPr>
              <w:tabs>
                <w:tab w:val="clear" w:pos="1134"/>
                <w:tab w:val="left" w:pos="2268"/>
              </w:tabs>
              <w:spacing w:before="60" w:after="60"/>
              <w:ind w:left="927" w:hanging="567"/>
              <w:jc w:val="left"/>
              <w:rPr>
                <w:color w:val="000000"/>
                <w:sz w:val="27"/>
              </w:rPr>
            </w:pPr>
            <w:r w:rsidRPr="00670887">
              <w:rPr>
                <w:sz w:val="20"/>
              </w:rPr>
              <w:t>ii)</w:t>
            </w:r>
            <w:r w:rsidRPr="00670887">
              <w:rPr>
                <w:sz w:val="20"/>
              </w:rPr>
              <w:tab/>
              <w:t>Las actividades, productos y servicios sostenibles basados en la biodiversidad que la mejoran;</w:t>
            </w:r>
          </w:p>
          <w:p w14:paraId="195C6CA4" w14:textId="3F0733E7" w:rsidR="00817A82" w:rsidRPr="00670887" w:rsidRDefault="00DE3162" w:rsidP="00BA2200">
            <w:pPr>
              <w:pStyle w:val="Para1"/>
              <w:numPr>
                <w:ilvl w:val="0"/>
                <w:numId w:val="0"/>
              </w:numPr>
              <w:tabs>
                <w:tab w:val="clear" w:pos="1134"/>
                <w:tab w:val="left" w:pos="2268"/>
              </w:tabs>
              <w:spacing w:before="60" w:after="60"/>
              <w:ind w:left="927" w:hanging="567"/>
              <w:jc w:val="left"/>
              <w:rPr>
                <w:color w:val="000000"/>
                <w:sz w:val="27"/>
                <w:szCs w:val="27"/>
              </w:rPr>
            </w:pPr>
            <w:r w:rsidRPr="00670887">
              <w:rPr>
                <w:sz w:val="20"/>
              </w:rPr>
              <w:t>iv)</w:t>
            </w:r>
            <w:r w:rsidRPr="00670887">
              <w:rPr>
                <w:sz w:val="20"/>
              </w:rPr>
              <w:tab/>
              <w:t>La equidad, la igualdad de género, el enfoque basado en los derechos humanos en relación con la conservación y la utilización sostenible de la biodiversidad;]</w:t>
            </w:r>
          </w:p>
          <w:p w14:paraId="16766C5A" w14:textId="2C55FD0D" w:rsidR="00645AD0" w:rsidRPr="00670887" w:rsidRDefault="00645AD0" w:rsidP="00BA2200">
            <w:pPr>
              <w:spacing w:before="60" w:after="60"/>
              <w:ind w:left="360" w:hanging="360"/>
              <w:jc w:val="left"/>
              <w:rPr>
                <w:sz w:val="20"/>
              </w:rPr>
            </w:pPr>
            <w:r w:rsidRPr="00670887">
              <w:rPr>
                <w:sz w:val="20"/>
              </w:rPr>
              <w:t>h)</w:t>
            </w:r>
            <w:r w:rsidRPr="00670887">
              <w:rPr>
                <w:sz w:val="20"/>
              </w:rPr>
              <w:tab/>
              <w:t>Modalidades justas y sostenibles de uso y consumo de recursos;</w:t>
            </w:r>
          </w:p>
          <w:p w14:paraId="4156DD71" w14:textId="125F0654" w:rsidR="00856CEB" w:rsidRPr="00670887" w:rsidRDefault="00645AD0" w:rsidP="00BA2200">
            <w:pPr>
              <w:spacing w:before="60" w:after="60"/>
              <w:ind w:left="360" w:hanging="360"/>
              <w:jc w:val="left"/>
              <w:rPr>
                <w:sz w:val="20"/>
              </w:rPr>
            </w:pPr>
            <w:r w:rsidRPr="00670887">
              <w:rPr>
                <w:sz w:val="20"/>
              </w:rPr>
              <w:t>i)</w:t>
            </w:r>
            <w:r w:rsidRPr="00670887">
              <w:rPr>
                <w:sz w:val="20"/>
              </w:rPr>
              <w:tab/>
              <w:t>La relación entre la biodiversidad y los medios de vida sostenibles;</w:t>
            </w:r>
          </w:p>
          <w:p w14:paraId="55FD2626" w14:textId="68C6CAEF" w:rsidR="00427678" w:rsidRPr="00670887" w:rsidRDefault="00A506C8" w:rsidP="00BA2200">
            <w:pPr>
              <w:spacing w:before="60" w:after="60"/>
              <w:ind w:left="360" w:hanging="360"/>
              <w:jc w:val="left"/>
              <w:rPr>
                <w:color w:val="000000"/>
                <w:sz w:val="20"/>
                <w:szCs w:val="20"/>
              </w:rPr>
            </w:pPr>
            <w:r w:rsidRPr="00670887">
              <w:rPr>
                <w:sz w:val="20"/>
              </w:rPr>
              <w:t>j)</w:t>
            </w:r>
            <w:r w:rsidRPr="00670887">
              <w:rPr>
                <w:sz w:val="20"/>
              </w:rPr>
              <w:tab/>
              <w:t>Revisión y actualización de los programas de trabajo, prestando especial atención a su armonización con el Marco;</w:t>
            </w:r>
          </w:p>
          <w:p w14:paraId="46A3EBAB" w14:textId="62827D16" w:rsidR="00992B9B" w:rsidRPr="00670887" w:rsidRDefault="00992B9B" w:rsidP="00BA2200">
            <w:pPr>
              <w:spacing w:before="60" w:after="60"/>
              <w:ind w:left="360" w:hanging="360"/>
              <w:jc w:val="left"/>
              <w:rPr>
                <w:snapToGrid w:val="0"/>
                <w:sz w:val="20"/>
                <w:szCs w:val="20"/>
              </w:rPr>
            </w:pPr>
            <w:r w:rsidRPr="00670887">
              <w:rPr>
                <w:color w:val="000000"/>
                <w:sz w:val="20"/>
              </w:rPr>
              <w:t>k)</w:t>
            </w:r>
            <w:r w:rsidRPr="00670887">
              <w:rPr>
                <w:color w:val="000000"/>
                <w:sz w:val="20"/>
              </w:rPr>
              <w:tab/>
              <w:t>Espacio reservado para el seguimiento, según sea necesario, del mecanismo multilateral de participación en los beneficios que se deriven de la utilización de información digital sobre secuencias de recursos genéticos;</w:t>
            </w:r>
          </w:p>
          <w:p w14:paraId="7704C9CC" w14:textId="6ABF5D90" w:rsidR="00947C34" w:rsidRPr="00670887" w:rsidRDefault="00391B4F" w:rsidP="00BA2200">
            <w:pPr>
              <w:spacing w:before="60" w:after="60"/>
              <w:ind w:left="360" w:hanging="360"/>
              <w:jc w:val="left"/>
              <w:rPr>
                <w:snapToGrid w:val="0"/>
                <w:sz w:val="20"/>
                <w:szCs w:val="22"/>
              </w:rPr>
            </w:pPr>
            <w:r w:rsidRPr="00670887">
              <w:rPr>
                <w:sz w:val="20"/>
              </w:rPr>
              <w:t>l)</w:t>
            </w:r>
            <w:r w:rsidRPr="00670887">
              <w:rPr>
                <w:sz w:val="20"/>
              </w:rPr>
              <w:tab/>
              <w:t>[</w:t>
            </w:r>
            <w:r w:rsidRPr="00670887">
              <w:rPr>
                <w:i/>
                <w:sz w:val="20"/>
              </w:rPr>
              <w:t>Otros elementos por determinar</w:t>
            </w:r>
            <w:r w:rsidRPr="00670887">
              <w:rPr>
                <w:sz w:val="20"/>
              </w:rPr>
              <w:t>].]</w:t>
            </w:r>
          </w:p>
        </w:tc>
      </w:tr>
      <w:tr w:rsidR="00817A82" w:rsidRPr="00670887" w14:paraId="73BF068C" w14:textId="77777777" w:rsidTr="00701D57">
        <w:tc>
          <w:tcPr>
            <w:tcW w:w="2405" w:type="dxa"/>
            <w:tcBorders>
              <w:top w:val="single" w:sz="4" w:space="0" w:color="auto"/>
              <w:left w:val="single" w:sz="4" w:space="0" w:color="auto"/>
              <w:bottom w:val="single" w:sz="4" w:space="0" w:color="auto"/>
              <w:right w:val="single" w:sz="4" w:space="0" w:color="auto"/>
            </w:tcBorders>
            <w:shd w:val="clear" w:color="auto" w:fill="auto"/>
          </w:tcPr>
          <w:p w14:paraId="607B2F5E" w14:textId="43059427" w:rsidR="00817A82" w:rsidRPr="00670887" w:rsidRDefault="00024F92" w:rsidP="00BA2200">
            <w:pPr>
              <w:keepNext/>
              <w:spacing w:before="60" w:after="60"/>
              <w:jc w:val="left"/>
              <w:rPr>
                <w:sz w:val="20"/>
                <w:szCs w:val="22"/>
              </w:rPr>
            </w:pPr>
            <w:r w:rsidRPr="00670887">
              <w:rPr>
                <w:sz w:val="20"/>
              </w:rPr>
              <w:lastRenderedPageBreak/>
              <w:t>18ª reunión (2028)</w:t>
            </w:r>
          </w:p>
        </w:tc>
        <w:tc>
          <w:tcPr>
            <w:tcW w:w="7088" w:type="dxa"/>
            <w:tcBorders>
              <w:top w:val="single" w:sz="4" w:space="0" w:color="auto"/>
              <w:left w:val="single" w:sz="4" w:space="0" w:color="auto"/>
              <w:bottom w:val="single" w:sz="4" w:space="0" w:color="auto"/>
              <w:right w:val="single" w:sz="4" w:space="0" w:color="auto"/>
            </w:tcBorders>
            <w:shd w:val="clear" w:color="auto" w:fill="auto"/>
          </w:tcPr>
          <w:p w14:paraId="4340C28B" w14:textId="7E07E651" w:rsidR="00E526DF" w:rsidRPr="00670887" w:rsidRDefault="004378B1" w:rsidP="00BA2200">
            <w:pPr>
              <w:keepNext/>
              <w:tabs>
                <w:tab w:val="left" w:pos="414"/>
              </w:tabs>
              <w:spacing w:before="60" w:after="60"/>
              <w:ind w:left="360" w:hanging="360"/>
              <w:jc w:val="left"/>
              <w:rPr>
                <w:snapToGrid w:val="0"/>
                <w:sz w:val="20"/>
                <w:szCs w:val="20"/>
              </w:rPr>
            </w:pPr>
            <w:r w:rsidRPr="00670887">
              <w:rPr>
                <w:sz w:val="20"/>
              </w:rPr>
              <w:t>a)</w:t>
            </w:r>
            <w:r w:rsidRPr="00670887">
              <w:rPr>
                <w:sz w:val="20"/>
              </w:rPr>
              <w:tab/>
              <w:t xml:space="preserve">Revisión de la implementación del Marco y los medios de implementación </w:t>
            </w:r>
            <w:proofErr w:type="spellStart"/>
            <w:r w:rsidRPr="00670887">
              <w:rPr>
                <w:sz w:val="20"/>
              </w:rPr>
              <w:t>conexos</w:t>
            </w:r>
            <w:r w:rsidR="00670887" w:rsidRPr="00670887">
              <w:rPr>
                <w:sz w:val="20"/>
                <w:vertAlign w:val="superscript"/>
              </w:rPr>
              <w:t>e</w:t>
            </w:r>
            <w:proofErr w:type="spellEnd"/>
            <w:r w:rsidRPr="00670887">
              <w:rPr>
                <w:sz w:val="20"/>
              </w:rPr>
              <w:t>, en particular un análisis mundial de la información de las estrategias y planes de acción nacionales en materia de biodiversidad, incluidas las metas nacionales para evaluar la contribución a la implementación del Marco;</w:t>
            </w:r>
          </w:p>
          <w:p w14:paraId="68577480" w14:textId="422FEA6A" w:rsidR="001C5C87" w:rsidRPr="00670887" w:rsidRDefault="004378B1" w:rsidP="00BA2200">
            <w:pPr>
              <w:keepNext/>
              <w:tabs>
                <w:tab w:val="left" w:pos="414"/>
              </w:tabs>
              <w:spacing w:before="60" w:after="60"/>
              <w:ind w:left="360" w:hanging="360"/>
              <w:jc w:val="left"/>
              <w:rPr>
                <w:snapToGrid w:val="0"/>
                <w:sz w:val="20"/>
                <w:szCs w:val="22"/>
              </w:rPr>
            </w:pPr>
            <w:r w:rsidRPr="00670887">
              <w:rPr>
                <w:snapToGrid w:val="0"/>
                <w:sz w:val="20"/>
              </w:rPr>
              <w:t>b)</w:t>
            </w:r>
            <w:r w:rsidRPr="00670887">
              <w:rPr>
                <w:snapToGrid w:val="0"/>
                <w:sz w:val="20"/>
              </w:rPr>
              <w:tab/>
            </w:r>
            <w:r w:rsidRPr="00670887">
              <w:rPr>
                <w:sz w:val="20"/>
              </w:rPr>
              <w:t>Medidas estratégicas para mejorar la aplicación del Convenio y la implementación del Marco, entre otras cosas en relación con los medios de implementación;</w:t>
            </w:r>
          </w:p>
          <w:p w14:paraId="793F2DBF" w14:textId="1C98AC29" w:rsidR="001C5C87" w:rsidRPr="00670887" w:rsidRDefault="004378B1" w:rsidP="00BA2200">
            <w:pPr>
              <w:keepNext/>
              <w:spacing w:before="60" w:after="60"/>
              <w:ind w:left="360" w:hanging="360"/>
              <w:jc w:val="left"/>
              <w:rPr>
                <w:sz w:val="20"/>
                <w:szCs w:val="20"/>
              </w:rPr>
            </w:pPr>
            <w:r w:rsidRPr="00670887">
              <w:rPr>
                <w:snapToGrid w:val="0"/>
                <w:sz w:val="20"/>
              </w:rPr>
              <w:t>c)</w:t>
            </w:r>
            <w:r w:rsidRPr="00670887">
              <w:rPr>
                <w:snapToGrid w:val="0"/>
                <w:sz w:val="20"/>
              </w:rPr>
              <w:tab/>
              <w:t>Revisión de las operaciones, el rendimiento y los resultados del Fondo para el Marco Mundial de Biodiversidad y disposiciones futuras</w:t>
            </w:r>
            <w:r w:rsidRPr="00670887">
              <w:rPr>
                <w:i/>
                <w:sz w:val="20"/>
                <w:vertAlign w:val="superscript"/>
              </w:rPr>
              <w:t>f</w:t>
            </w:r>
            <w:r w:rsidRPr="00670887">
              <w:rPr>
                <w:sz w:val="20"/>
              </w:rPr>
              <w:t>;</w:t>
            </w:r>
          </w:p>
          <w:p w14:paraId="10FA36B6" w14:textId="5293A1ED" w:rsidR="00817A82" w:rsidRPr="00670887" w:rsidRDefault="004378B1" w:rsidP="00BA2200">
            <w:pPr>
              <w:keepNext/>
              <w:spacing w:before="60" w:after="60"/>
              <w:ind w:left="360" w:hanging="360"/>
              <w:jc w:val="left"/>
              <w:rPr>
                <w:sz w:val="20"/>
                <w:szCs w:val="22"/>
              </w:rPr>
            </w:pPr>
            <w:r w:rsidRPr="00670887">
              <w:rPr>
                <w:snapToGrid w:val="0"/>
                <w:sz w:val="20"/>
              </w:rPr>
              <w:t>d)</w:t>
            </w:r>
            <w:r w:rsidRPr="00670887">
              <w:rPr>
                <w:snapToGrid w:val="0"/>
                <w:sz w:val="20"/>
              </w:rPr>
              <w:tab/>
            </w:r>
            <w:r w:rsidRPr="00670887">
              <w:rPr>
                <w:sz w:val="20"/>
              </w:rPr>
              <w:t>Marco cuatrienal de prioridades programáticas orientado a la obtención de resultados y evaluación de las necesidades de financiación para aportar información para la décima reposición de recursos del Fondo Fiduciario del Fondo para el Medio Ambiente Mundial (2030-2034);</w:t>
            </w:r>
          </w:p>
          <w:p w14:paraId="55B71FF4" w14:textId="281158CB" w:rsidR="00C51674" w:rsidRPr="00670887" w:rsidRDefault="004378B1" w:rsidP="00BA2200">
            <w:pPr>
              <w:keepNext/>
              <w:spacing w:before="60" w:after="60"/>
              <w:ind w:left="360" w:hanging="360"/>
              <w:jc w:val="left"/>
              <w:rPr>
                <w:snapToGrid w:val="0"/>
                <w:sz w:val="20"/>
                <w:szCs w:val="22"/>
              </w:rPr>
            </w:pPr>
            <w:r w:rsidRPr="00670887">
              <w:rPr>
                <w:snapToGrid w:val="0"/>
                <w:sz w:val="20"/>
              </w:rPr>
              <w:t>e)</w:t>
            </w:r>
            <w:r w:rsidRPr="00670887">
              <w:rPr>
                <w:snapToGrid w:val="0"/>
                <w:sz w:val="20"/>
              </w:rPr>
              <w:tab/>
              <w:t>Examen de la eficacia del mecanismo financiero</w:t>
            </w:r>
            <w:r w:rsidRPr="00670887">
              <w:rPr>
                <w:i/>
                <w:sz w:val="18"/>
                <w:vertAlign w:val="superscript"/>
              </w:rPr>
              <w:t>d</w:t>
            </w:r>
            <w:r w:rsidRPr="00670887">
              <w:t>;</w:t>
            </w:r>
          </w:p>
          <w:p w14:paraId="575D2E45" w14:textId="19E2ABAB" w:rsidR="004A1B66" w:rsidRPr="00670887" w:rsidRDefault="00D14CA8" w:rsidP="00BA2200">
            <w:pPr>
              <w:keepNext/>
              <w:spacing w:before="60" w:after="60"/>
              <w:ind w:left="360" w:hanging="360"/>
              <w:jc w:val="left"/>
              <w:rPr>
                <w:snapToGrid w:val="0"/>
                <w:sz w:val="20"/>
              </w:rPr>
            </w:pPr>
            <w:r w:rsidRPr="00670887">
              <w:rPr>
                <w:sz w:val="20"/>
              </w:rPr>
              <w:t>f)</w:t>
            </w:r>
            <w:r w:rsidRPr="00670887">
              <w:rPr>
                <w:sz w:val="20"/>
              </w:rPr>
              <w:tab/>
              <w:t>Repercusiones para la labor del Convenio de los productos previstos de la Plataforma Intergubernamental Científico-Normativa sobre Diversidad Biológica y Servicios de los Ecosistemas, en particular:</w:t>
            </w:r>
          </w:p>
          <w:p w14:paraId="73E1E5A2" w14:textId="639A0EEC" w:rsidR="004A1B66" w:rsidRPr="00670887" w:rsidRDefault="00DE3162" w:rsidP="00701D57">
            <w:pPr>
              <w:pStyle w:val="Para1"/>
              <w:numPr>
                <w:ilvl w:val="0"/>
                <w:numId w:val="0"/>
              </w:numPr>
              <w:tabs>
                <w:tab w:val="clear" w:pos="1134"/>
                <w:tab w:val="left" w:pos="2268"/>
              </w:tabs>
              <w:spacing w:before="60" w:after="60"/>
              <w:ind w:left="927" w:hanging="567"/>
              <w:jc w:val="left"/>
              <w:rPr>
                <w:sz w:val="20"/>
              </w:rPr>
            </w:pPr>
            <w:r w:rsidRPr="00670887">
              <w:rPr>
                <w:sz w:val="20"/>
              </w:rPr>
              <w:t>i)</w:t>
            </w:r>
            <w:r w:rsidRPr="00670887">
              <w:rPr>
                <w:sz w:val="20"/>
              </w:rPr>
              <w:tab/>
              <w:t>Evaluación metodológica sobre la vigilancia de la diversidad biológica y las contribuciones de la naturaleza a las personas;</w:t>
            </w:r>
          </w:p>
          <w:p w14:paraId="3DAB291F" w14:textId="001FEB7F" w:rsidR="004A1B66" w:rsidRPr="00670887" w:rsidRDefault="00DE3162" w:rsidP="00701D57">
            <w:pPr>
              <w:pStyle w:val="Para1"/>
              <w:numPr>
                <w:ilvl w:val="0"/>
                <w:numId w:val="0"/>
              </w:numPr>
              <w:tabs>
                <w:tab w:val="clear" w:pos="1134"/>
                <w:tab w:val="left" w:pos="2268"/>
              </w:tabs>
              <w:spacing w:before="60" w:after="60"/>
              <w:ind w:left="927" w:hanging="567"/>
              <w:jc w:val="left"/>
              <w:rPr>
                <w:sz w:val="20"/>
              </w:rPr>
            </w:pPr>
            <w:r w:rsidRPr="00670887">
              <w:rPr>
                <w:sz w:val="20"/>
              </w:rPr>
              <w:t>ii)</w:t>
            </w:r>
            <w:r w:rsidRPr="00670887">
              <w:rPr>
                <w:sz w:val="20"/>
              </w:rPr>
              <w:tab/>
              <w:t>Evaluación metodológica de la planificación espacial y la conectividad ecológica integradas que tengan en cuenta la diversidad biológica;</w:t>
            </w:r>
          </w:p>
          <w:p w14:paraId="6A119C29" w14:textId="51C433AB" w:rsidR="00817A82" w:rsidRPr="00670887" w:rsidRDefault="00D14CA8" w:rsidP="00BA2200">
            <w:pPr>
              <w:keepNext/>
              <w:spacing w:before="60" w:after="60"/>
              <w:ind w:left="360" w:hanging="360"/>
              <w:jc w:val="left"/>
              <w:rPr>
                <w:snapToGrid w:val="0"/>
                <w:sz w:val="20"/>
                <w:szCs w:val="20"/>
              </w:rPr>
            </w:pPr>
            <w:r w:rsidRPr="00670887">
              <w:rPr>
                <w:sz w:val="20"/>
              </w:rPr>
              <w:t>g)</w:t>
            </w:r>
            <w:r w:rsidRPr="00670887">
              <w:rPr>
                <w:sz w:val="20"/>
              </w:rPr>
              <w:tab/>
            </w:r>
            <w:r w:rsidRPr="00670887">
              <w:rPr>
                <w:snapToGrid w:val="0"/>
                <w:sz w:val="20"/>
              </w:rPr>
              <w:t>Consideraciones para un instrumento que suceda al Marco, incluida una revisión de la eficacia de las medidas para aplicar sus metas y objetivos en consonancia con los principios y objetivos del Convenio;</w:t>
            </w:r>
          </w:p>
          <w:p w14:paraId="71653073" w14:textId="3C882A8E" w:rsidR="000C6EEA" w:rsidRPr="00670887" w:rsidRDefault="00117F6A" w:rsidP="00BA2200">
            <w:pPr>
              <w:spacing w:before="60" w:after="60"/>
              <w:ind w:left="360" w:hanging="360"/>
              <w:jc w:val="left"/>
              <w:rPr>
                <w:snapToGrid w:val="0"/>
                <w:sz w:val="20"/>
                <w:szCs w:val="20"/>
              </w:rPr>
            </w:pPr>
            <w:r w:rsidRPr="00670887">
              <w:rPr>
                <w:color w:val="000000"/>
                <w:sz w:val="20"/>
              </w:rPr>
              <w:t>h)</w:t>
            </w:r>
            <w:r w:rsidRPr="00670887">
              <w:rPr>
                <w:color w:val="000000"/>
                <w:sz w:val="20"/>
              </w:rPr>
              <w:tab/>
              <w:t>Revisión y actualización de los programas de trabajo, centrándose en su armonización con el Marco;</w:t>
            </w:r>
          </w:p>
          <w:p w14:paraId="40A0CC01" w14:textId="4594D145" w:rsidR="00817A82" w:rsidRPr="00670887" w:rsidRDefault="00DE3162" w:rsidP="00BA2200">
            <w:pPr>
              <w:keepNext/>
              <w:spacing w:before="60" w:after="60"/>
              <w:ind w:left="360" w:hanging="360"/>
              <w:jc w:val="left"/>
              <w:rPr>
                <w:sz w:val="20"/>
              </w:rPr>
            </w:pPr>
            <w:r w:rsidRPr="00670887">
              <w:rPr>
                <w:sz w:val="20"/>
              </w:rPr>
              <w:t>i)</w:t>
            </w:r>
            <w:r w:rsidRPr="00670887">
              <w:rPr>
                <w:sz w:val="20"/>
              </w:rPr>
              <w:tab/>
              <w:t>[</w:t>
            </w:r>
            <w:r w:rsidRPr="00670887">
              <w:rPr>
                <w:i/>
                <w:sz w:val="20"/>
              </w:rPr>
              <w:t>Otros elementos por determinar</w:t>
            </w:r>
            <w:r w:rsidRPr="00670887">
              <w:rPr>
                <w:sz w:val="20"/>
              </w:rPr>
              <w:t>].</w:t>
            </w:r>
          </w:p>
        </w:tc>
      </w:tr>
      <w:tr w:rsidR="00817A82" w:rsidRPr="00670887" w14:paraId="76E6A067" w14:textId="77777777" w:rsidTr="00701D57">
        <w:tc>
          <w:tcPr>
            <w:tcW w:w="2405" w:type="dxa"/>
            <w:tcBorders>
              <w:top w:val="single" w:sz="4" w:space="0" w:color="auto"/>
              <w:left w:val="single" w:sz="4" w:space="0" w:color="auto"/>
              <w:bottom w:val="single" w:sz="4" w:space="0" w:color="auto"/>
              <w:right w:val="single" w:sz="4" w:space="0" w:color="auto"/>
            </w:tcBorders>
          </w:tcPr>
          <w:p w14:paraId="026B0DF1" w14:textId="6951956B" w:rsidR="00817A82" w:rsidRPr="00670887" w:rsidRDefault="00024F92" w:rsidP="00BA2200">
            <w:pPr>
              <w:keepNext/>
              <w:spacing w:before="60" w:after="60"/>
              <w:jc w:val="left"/>
              <w:rPr>
                <w:sz w:val="20"/>
                <w:szCs w:val="22"/>
              </w:rPr>
            </w:pPr>
            <w:r w:rsidRPr="00670887">
              <w:rPr>
                <w:sz w:val="20"/>
              </w:rPr>
              <w:t>19ª reunión (2030)</w:t>
            </w:r>
          </w:p>
        </w:tc>
        <w:tc>
          <w:tcPr>
            <w:tcW w:w="7088" w:type="dxa"/>
            <w:tcBorders>
              <w:top w:val="single" w:sz="4" w:space="0" w:color="auto"/>
              <w:left w:val="single" w:sz="4" w:space="0" w:color="auto"/>
              <w:bottom w:val="single" w:sz="4" w:space="0" w:color="auto"/>
              <w:right w:val="single" w:sz="4" w:space="0" w:color="auto"/>
            </w:tcBorders>
          </w:tcPr>
          <w:p w14:paraId="6817F72F" w14:textId="39511111" w:rsidR="00704BA4" w:rsidRPr="00670887" w:rsidRDefault="00EC3434" w:rsidP="00701D57">
            <w:pPr>
              <w:keepNext/>
              <w:spacing w:before="60" w:after="60"/>
              <w:ind w:left="360" w:hanging="360"/>
              <w:jc w:val="left"/>
              <w:rPr>
                <w:color w:val="000000"/>
                <w:sz w:val="20"/>
                <w:szCs w:val="20"/>
              </w:rPr>
            </w:pPr>
            <w:r w:rsidRPr="00670887">
              <w:rPr>
                <w:color w:val="000000"/>
                <w:sz w:val="20"/>
              </w:rPr>
              <w:t>a)</w:t>
            </w:r>
            <w:r w:rsidRPr="00670887">
              <w:rPr>
                <w:color w:val="000000"/>
                <w:sz w:val="20"/>
              </w:rPr>
              <w:tab/>
              <w:t>Análisis mundial de la información de las estrategias y planes de acción nacionales en materia de biodiversidad, incluidas las metas nacionales, para evaluar cómo contribuyen al Marco;</w:t>
            </w:r>
          </w:p>
          <w:p w14:paraId="2FAB8CE1" w14:textId="79DE0C06" w:rsidR="006C6C7F" w:rsidRPr="00670887" w:rsidRDefault="00EC3434" w:rsidP="00701D57">
            <w:pPr>
              <w:keepNext/>
              <w:spacing w:before="60" w:after="60"/>
              <w:ind w:left="360" w:hanging="328"/>
              <w:jc w:val="left"/>
              <w:rPr>
                <w:sz w:val="20"/>
                <w:szCs w:val="22"/>
              </w:rPr>
            </w:pPr>
            <w:r w:rsidRPr="00670887">
              <w:rPr>
                <w:sz w:val="20"/>
              </w:rPr>
              <w:t>b)</w:t>
            </w:r>
            <w:r w:rsidRPr="00670887">
              <w:rPr>
                <w:sz w:val="20"/>
              </w:rPr>
              <w:tab/>
            </w:r>
            <w:r w:rsidRPr="00670887">
              <w:rPr>
                <w:snapToGrid w:val="0"/>
                <w:sz w:val="20"/>
              </w:rPr>
              <w:t xml:space="preserve">Revisión mundial de la implementación del Marco y de los medios de implementación conexos: evaluación final de los progresos realizados en la consecución de las metas del Marco sobre la base, entre otras cosas, de los </w:t>
            </w:r>
            <w:r w:rsidRPr="00670887">
              <w:rPr>
                <w:sz w:val="20"/>
              </w:rPr>
              <w:t>octavos informes nacionales</w:t>
            </w:r>
            <w:r w:rsidRPr="00670887">
              <w:rPr>
                <w:i/>
                <w:sz w:val="20"/>
                <w:vertAlign w:val="superscript"/>
              </w:rPr>
              <w:t>g</w:t>
            </w:r>
            <w:r w:rsidRPr="00670887">
              <w:rPr>
                <w:sz w:val="20"/>
              </w:rPr>
              <w:t>;</w:t>
            </w:r>
          </w:p>
          <w:p w14:paraId="5F2BA697" w14:textId="48558E16" w:rsidR="00D641D7" w:rsidRPr="00670887" w:rsidRDefault="00D641D7" w:rsidP="00701D57">
            <w:pPr>
              <w:keepNext/>
              <w:spacing w:before="60" w:after="60"/>
              <w:ind w:left="360" w:hanging="328"/>
              <w:jc w:val="left"/>
              <w:rPr>
                <w:snapToGrid w:val="0"/>
                <w:sz w:val="20"/>
                <w:szCs w:val="20"/>
              </w:rPr>
            </w:pPr>
            <w:r w:rsidRPr="00670887">
              <w:rPr>
                <w:sz w:val="20"/>
              </w:rPr>
              <w:lastRenderedPageBreak/>
              <w:t>c)</w:t>
            </w:r>
            <w:r w:rsidRPr="00670887">
              <w:rPr>
                <w:sz w:val="20"/>
              </w:rPr>
              <w:tab/>
              <w:t>Acciones estratégicas para mejorar la aplicación del Convenio y la implementación Marco, entre otras cosas en relación con los medios de implementación;</w:t>
            </w:r>
          </w:p>
          <w:p w14:paraId="390C86CB" w14:textId="0D5E07B7" w:rsidR="00817A82" w:rsidRPr="00670887" w:rsidRDefault="00D14CA8" w:rsidP="00701D57">
            <w:pPr>
              <w:keepNext/>
              <w:spacing w:before="60" w:after="60"/>
              <w:ind w:left="360" w:hanging="328"/>
              <w:jc w:val="left"/>
              <w:rPr>
                <w:snapToGrid w:val="0"/>
                <w:sz w:val="20"/>
                <w:szCs w:val="20"/>
              </w:rPr>
            </w:pPr>
            <w:r w:rsidRPr="00670887">
              <w:rPr>
                <w:sz w:val="20"/>
              </w:rPr>
              <w:t>d)</w:t>
            </w:r>
            <w:r w:rsidRPr="00670887">
              <w:rPr>
                <w:sz w:val="20"/>
              </w:rPr>
              <w:tab/>
              <w:t>Repercusiones para la labor del Convenio de los productos previstos de la Plataforma Intergubernamental Científico-Normativa sobre Diversidad Biológica y Servicios de los Ecosistemas, incluida su segunda evaluación mundial de la diversidad biológica y los servicios de los ecosistemas;</w:t>
            </w:r>
          </w:p>
          <w:p w14:paraId="6FCB6137" w14:textId="5BAA2363" w:rsidR="004A1B66" w:rsidRPr="00670887" w:rsidRDefault="00D14CA8" w:rsidP="00701D57">
            <w:pPr>
              <w:keepNext/>
              <w:spacing w:before="60" w:after="60"/>
              <w:ind w:left="360" w:hanging="328"/>
              <w:jc w:val="left"/>
              <w:rPr>
                <w:snapToGrid w:val="0"/>
                <w:sz w:val="20"/>
                <w:szCs w:val="22"/>
              </w:rPr>
            </w:pPr>
            <w:r w:rsidRPr="00670887">
              <w:rPr>
                <w:sz w:val="20"/>
              </w:rPr>
              <w:t>e)</w:t>
            </w:r>
            <w:r w:rsidRPr="00670887">
              <w:rPr>
                <w:sz w:val="20"/>
              </w:rPr>
              <w:tab/>
              <w:t>Actualización del Marco, e instrumento que lo sucederá e instrumento que sucederá al Plan de Acción sobre Género (2023</w:t>
            </w:r>
            <w:r w:rsidRPr="00670887">
              <w:rPr>
                <w:sz w:val="20"/>
              </w:rPr>
              <w:sym w:font="Symbol" w:char="F02D"/>
            </w:r>
            <w:r w:rsidRPr="00670887">
              <w:rPr>
                <w:sz w:val="20"/>
              </w:rPr>
              <w:t>2030) y la estrategia para la movilización de recursos;</w:t>
            </w:r>
          </w:p>
          <w:p w14:paraId="5CA9BDE3" w14:textId="291C8633" w:rsidR="00D34DFB" w:rsidRPr="00670887" w:rsidRDefault="00D14CA8" w:rsidP="00701D57">
            <w:pPr>
              <w:keepNext/>
              <w:spacing w:before="60" w:after="60"/>
              <w:ind w:left="360" w:hanging="328"/>
              <w:jc w:val="left"/>
              <w:rPr>
                <w:sz w:val="20"/>
                <w:szCs w:val="22"/>
              </w:rPr>
            </w:pPr>
            <w:r w:rsidRPr="00670887">
              <w:rPr>
                <w:snapToGrid w:val="0"/>
                <w:sz w:val="20"/>
              </w:rPr>
              <w:t>f)</w:t>
            </w:r>
            <w:r w:rsidRPr="00670887">
              <w:rPr>
                <w:snapToGrid w:val="0"/>
                <w:sz w:val="20"/>
              </w:rPr>
              <w:tab/>
            </w:r>
            <w:r w:rsidRPr="00670887">
              <w:rPr>
                <w:sz w:val="20"/>
              </w:rPr>
              <w:t>[</w:t>
            </w:r>
            <w:r w:rsidRPr="00670887">
              <w:rPr>
                <w:i/>
                <w:sz w:val="20"/>
              </w:rPr>
              <w:t>Otros elementos por determinar</w:t>
            </w:r>
            <w:r w:rsidRPr="00670887">
              <w:rPr>
                <w:sz w:val="20"/>
              </w:rPr>
              <w:t>].</w:t>
            </w:r>
          </w:p>
        </w:tc>
      </w:tr>
    </w:tbl>
    <w:p w14:paraId="6D1C2346" w14:textId="6C2DB346" w:rsidR="008903EC" w:rsidRPr="00670887" w:rsidRDefault="009F080D">
      <w:pPr>
        <w:pStyle w:val="Para1"/>
        <w:keepNext/>
        <w:numPr>
          <w:ilvl w:val="0"/>
          <w:numId w:val="0"/>
        </w:numPr>
        <w:tabs>
          <w:tab w:val="clear" w:pos="1134"/>
          <w:tab w:val="left" w:pos="284"/>
        </w:tabs>
        <w:spacing w:before="60" w:after="60"/>
        <w:rPr>
          <w:sz w:val="18"/>
          <w:szCs w:val="18"/>
        </w:rPr>
      </w:pPr>
      <w:r w:rsidRPr="00670887">
        <w:rPr>
          <w:i/>
          <w:sz w:val="18"/>
          <w:vertAlign w:val="superscript"/>
        </w:rPr>
        <w:lastRenderedPageBreak/>
        <w:t>a</w:t>
      </w:r>
      <w:r w:rsidRPr="00670887">
        <w:rPr>
          <w:sz w:val="18"/>
        </w:rPr>
        <w:t xml:space="preserve"> Realizada conjuntamente con la revisión de la estrategia para la movilización de recursos (decisión </w:t>
      </w:r>
      <w:hyperlink r:id="rId16" w:history="1">
        <w:r w:rsidRPr="00670887">
          <w:rPr>
            <w:rStyle w:val="Hipervnculo"/>
            <w:sz w:val="18"/>
          </w:rPr>
          <w:t>15/7</w:t>
        </w:r>
      </w:hyperlink>
      <w:r w:rsidRPr="00670887">
        <w:rPr>
          <w:sz w:val="18"/>
        </w:rPr>
        <w:t>, párr. 46), la revisión a mitad de período de la implementación del Plan de Acción sobre Género (2023-2030) (decisión </w:t>
      </w:r>
      <w:hyperlink r:id="rId17" w:history="1">
        <w:r w:rsidRPr="00670887">
          <w:rPr>
            <w:rStyle w:val="Hipervnculo"/>
            <w:sz w:val="18"/>
          </w:rPr>
          <w:t>15/11</w:t>
        </w:r>
      </w:hyperlink>
      <w:r w:rsidRPr="00670887">
        <w:rPr>
          <w:sz w:val="18"/>
        </w:rPr>
        <w:t>, párr. 9), la revisión del mecanismo de cooperación científica y técnica (decisión </w:t>
      </w:r>
      <w:hyperlink r:id="rId18" w:history="1">
        <w:r w:rsidRPr="00670887">
          <w:rPr>
            <w:rStyle w:val="Hipervnculo"/>
            <w:sz w:val="18"/>
          </w:rPr>
          <w:t>15/8</w:t>
        </w:r>
      </w:hyperlink>
      <w:r w:rsidRPr="00670887">
        <w:rPr>
          <w:sz w:val="18"/>
        </w:rPr>
        <w:t>, párr. 32 j)) y la revisión del papel de los gobiernos subnacionales, las ciudades y otras autoridades locales en la consecución de los objetivos de Convenio y sus Protocolos y el Marco (decisión </w:t>
      </w:r>
      <w:hyperlink r:id="rId19" w:history="1">
        <w:r w:rsidRPr="00670887">
          <w:rPr>
            <w:rStyle w:val="Hipervnculo"/>
            <w:sz w:val="18"/>
          </w:rPr>
          <w:t>15/12</w:t>
        </w:r>
      </w:hyperlink>
      <w:r w:rsidRPr="00670887">
        <w:rPr>
          <w:sz w:val="18"/>
        </w:rPr>
        <w:t xml:space="preserve">, párr. 7). </w:t>
      </w:r>
    </w:p>
    <w:p w14:paraId="4D7FE188" w14:textId="20A75B5B" w:rsidR="002D364E" w:rsidRPr="00670887" w:rsidRDefault="002D364E" w:rsidP="00701D57">
      <w:pPr>
        <w:pStyle w:val="Para1"/>
        <w:keepNext/>
        <w:numPr>
          <w:ilvl w:val="0"/>
          <w:numId w:val="0"/>
        </w:numPr>
        <w:tabs>
          <w:tab w:val="clear" w:pos="1134"/>
          <w:tab w:val="left" w:pos="284"/>
        </w:tabs>
        <w:spacing w:before="60" w:after="60"/>
        <w:rPr>
          <w:i/>
          <w:iCs/>
          <w:sz w:val="18"/>
          <w:szCs w:val="18"/>
          <w:vertAlign w:val="superscript"/>
        </w:rPr>
      </w:pPr>
      <w:r w:rsidRPr="00670887">
        <w:rPr>
          <w:i/>
          <w:sz w:val="18"/>
          <w:vertAlign w:val="superscript"/>
        </w:rPr>
        <w:t>b</w:t>
      </w:r>
      <w:r w:rsidRPr="00670887">
        <w:rPr>
          <w:i/>
          <w:sz w:val="18"/>
          <w:vertAlign w:val="superscript"/>
        </w:rPr>
        <w:tab/>
      </w:r>
      <w:r w:rsidRPr="00670887">
        <w:rPr>
          <w:sz w:val="18"/>
        </w:rPr>
        <w:t>Decisión 15/5, anexo I.</w:t>
      </w:r>
    </w:p>
    <w:p w14:paraId="3734A2D9" w14:textId="37164D59" w:rsidR="00894075" w:rsidRPr="00670887" w:rsidRDefault="002D364E" w:rsidP="00701D57">
      <w:pPr>
        <w:pStyle w:val="Para1"/>
        <w:keepNext/>
        <w:numPr>
          <w:ilvl w:val="0"/>
          <w:numId w:val="0"/>
        </w:numPr>
        <w:tabs>
          <w:tab w:val="clear" w:pos="1134"/>
          <w:tab w:val="left" w:pos="284"/>
        </w:tabs>
        <w:spacing w:before="60" w:after="60"/>
        <w:rPr>
          <w:sz w:val="18"/>
          <w:szCs w:val="18"/>
        </w:rPr>
      </w:pPr>
      <w:r w:rsidRPr="00670887">
        <w:rPr>
          <w:i/>
          <w:sz w:val="18"/>
          <w:vertAlign w:val="superscript"/>
        </w:rPr>
        <w:t>c</w:t>
      </w:r>
      <w:r w:rsidRPr="00670887">
        <w:rPr>
          <w:sz w:val="18"/>
        </w:rPr>
        <w:tab/>
        <w:t>Sujeto a una decisión de la Conferencia de las Partes en su 16ª reunión.</w:t>
      </w:r>
    </w:p>
    <w:p w14:paraId="25A78E9C" w14:textId="6DA22845" w:rsidR="009F080D" w:rsidRPr="00670887" w:rsidRDefault="002D364E" w:rsidP="00701D57">
      <w:pPr>
        <w:pStyle w:val="Para1"/>
        <w:keepNext/>
        <w:numPr>
          <w:ilvl w:val="0"/>
          <w:numId w:val="0"/>
        </w:numPr>
        <w:tabs>
          <w:tab w:val="clear" w:pos="1134"/>
          <w:tab w:val="left" w:pos="284"/>
        </w:tabs>
        <w:spacing w:before="60" w:after="60"/>
        <w:rPr>
          <w:sz w:val="18"/>
          <w:szCs w:val="18"/>
        </w:rPr>
      </w:pPr>
      <w:r w:rsidRPr="00670887">
        <w:rPr>
          <w:i/>
          <w:sz w:val="18"/>
          <w:vertAlign w:val="superscript"/>
        </w:rPr>
        <w:t>d</w:t>
      </w:r>
      <w:r w:rsidRPr="00670887">
        <w:rPr>
          <w:sz w:val="18"/>
        </w:rPr>
        <w:tab/>
        <w:t>Sujeto a una decisión de la Conferencia de las Partes en su 16ª reunión.</w:t>
      </w:r>
    </w:p>
    <w:p w14:paraId="2BB10144" w14:textId="38AFA035" w:rsidR="00D74DB3" w:rsidRPr="00670887" w:rsidRDefault="002D364E" w:rsidP="00701D57">
      <w:pPr>
        <w:pStyle w:val="Para1"/>
        <w:keepNext/>
        <w:numPr>
          <w:ilvl w:val="0"/>
          <w:numId w:val="0"/>
        </w:numPr>
        <w:tabs>
          <w:tab w:val="clear" w:pos="1134"/>
          <w:tab w:val="left" w:pos="284"/>
        </w:tabs>
        <w:spacing w:before="60" w:after="60"/>
        <w:rPr>
          <w:sz w:val="18"/>
          <w:szCs w:val="18"/>
        </w:rPr>
      </w:pPr>
      <w:proofErr w:type="spellStart"/>
      <w:r w:rsidRPr="00670887">
        <w:rPr>
          <w:i/>
          <w:sz w:val="18"/>
          <w:vertAlign w:val="superscript"/>
        </w:rPr>
        <w:t>e</w:t>
      </w:r>
      <w:proofErr w:type="spellEnd"/>
      <w:r w:rsidRPr="00670887">
        <w:rPr>
          <w:sz w:val="18"/>
        </w:rPr>
        <w:tab/>
        <w:t>Realizada conjuntamente con la revisión ulterior de la estrategia para la movilización de recursos (decisión 15/7, párr. 46).</w:t>
      </w:r>
    </w:p>
    <w:p w14:paraId="4EAEE3EA" w14:textId="1320C541" w:rsidR="00CC0193" w:rsidRPr="00670887" w:rsidRDefault="002D364E" w:rsidP="00701D57">
      <w:pPr>
        <w:pStyle w:val="Para1"/>
        <w:keepNext/>
        <w:numPr>
          <w:ilvl w:val="0"/>
          <w:numId w:val="0"/>
        </w:numPr>
        <w:tabs>
          <w:tab w:val="clear" w:pos="1134"/>
          <w:tab w:val="left" w:pos="284"/>
        </w:tabs>
        <w:spacing w:before="60" w:after="60"/>
        <w:rPr>
          <w:sz w:val="18"/>
          <w:szCs w:val="18"/>
        </w:rPr>
      </w:pPr>
      <w:r w:rsidRPr="00670887">
        <w:rPr>
          <w:i/>
          <w:sz w:val="18"/>
          <w:vertAlign w:val="superscript"/>
        </w:rPr>
        <w:t>f</w:t>
      </w:r>
      <w:r w:rsidRPr="00670887">
        <w:rPr>
          <w:sz w:val="18"/>
        </w:rPr>
        <w:tab/>
      </w:r>
      <w:r w:rsidR="00670887">
        <w:rPr>
          <w:sz w:val="18"/>
        </w:rPr>
        <w:t>D</w:t>
      </w:r>
      <w:r w:rsidRPr="00670887">
        <w:rPr>
          <w:sz w:val="18"/>
        </w:rPr>
        <w:t>ecisión </w:t>
      </w:r>
      <w:hyperlink r:id="rId20" w:history="1">
        <w:r w:rsidRPr="00670887">
          <w:rPr>
            <w:rStyle w:val="Hipervnculo"/>
            <w:sz w:val="18"/>
          </w:rPr>
          <w:t>15/15</w:t>
        </w:r>
      </w:hyperlink>
      <w:r w:rsidRPr="00670887">
        <w:rPr>
          <w:rStyle w:val="Hipervnculo"/>
          <w:sz w:val="18"/>
        </w:rPr>
        <w:t>,</w:t>
      </w:r>
      <w:r w:rsidRPr="00670887">
        <w:rPr>
          <w:sz w:val="18"/>
        </w:rPr>
        <w:t xml:space="preserve"> párr.</w:t>
      </w:r>
      <w:r w:rsidR="00670887">
        <w:rPr>
          <w:sz w:val="18"/>
        </w:rPr>
        <w:t> </w:t>
      </w:r>
      <w:r w:rsidRPr="00670887">
        <w:rPr>
          <w:sz w:val="18"/>
        </w:rPr>
        <w:t>29.</w:t>
      </w:r>
    </w:p>
    <w:p w14:paraId="701A22C4" w14:textId="71554714" w:rsidR="001C5E62" w:rsidRPr="00670887" w:rsidRDefault="002D364E" w:rsidP="00701D57">
      <w:pPr>
        <w:pStyle w:val="Para1"/>
        <w:numPr>
          <w:ilvl w:val="0"/>
          <w:numId w:val="0"/>
        </w:numPr>
        <w:tabs>
          <w:tab w:val="clear" w:pos="1134"/>
          <w:tab w:val="left" w:pos="284"/>
        </w:tabs>
        <w:spacing w:before="60" w:after="60"/>
        <w:rPr>
          <w:sz w:val="18"/>
          <w:szCs w:val="18"/>
        </w:rPr>
      </w:pPr>
      <w:r w:rsidRPr="00670887">
        <w:rPr>
          <w:i/>
          <w:sz w:val="18"/>
          <w:vertAlign w:val="superscript"/>
        </w:rPr>
        <w:t>g</w:t>
      </w:r>
      <w:r w:rsidRPr="00670887">
        <w:rPr>
          <w:sz w:val="18"/>
        </w:rPr>
        <w:tab/>
        <w:t>Realizada conjuntamente con la evaluación del marco estratégico a largo plazo para la creación y el desarrollo de la capacidad (decisión 15/8, párr. 16 i)) y otros mecanismos adoptados por la Conferencia de las Partes para apoyar los medios de implementación].</w:t>
      </w:r>
    </w:p>
    <w:p w14:paraId="31E1C4FD" w14:textId="1E517374" w:rsidR="002B559C" w:rsidRPr="00670887" w:rsidRDefault="00ED3849" w:rsidP="00701D57">
      <w:pPr>
        <w:pStyle w:val="Para1"/>
        <w:numPr>
          <w:ilvl w:val="0"/>
          <w:numId w:val="0"/>
        </w:numPr>
        <w:spacing w:before="0" w:after="0"/>
        <w:jc w:val="center"/>
      </w:pPr>
      <w:r w:rsidRPr="00670887">
        <w:t>__________</w:t>
      </w:r>
    </w:p>
    <w:sectPr w:rsidR="002B559C" w:rsidRPr="00670887" w:rsidSect="006D1797">
      <w:headerReference w:type="even" r:id="rId21"/>
      <w:headerReference w:type="default" r:id="rId22"/>
      <w:footerReference w:type="even" r:id="rId23"/>
      <w:footerReference w:type="default" r:id="rId24"/>
      <w:footnotePr>
        <w:numRestart w:val="eachSect"/>
      </w:footnotePr>
      <w:type w:val="continuous"/>
      <w:pgSz w:w="12240" w:h="15840"/>
      <w:pgMar w:top="1134" w:right="1440" w:bottom="1077"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C109FA" w14:textId="77777777" w:rsidR="00EE6CB9" w:rsidRDefault="00EE6CB9" w:rsidP="00A96B21">
      <w:r>
        <w:separator/>
      </w:r>
    </w:p>
  </w:endnote>
  <w:endnote w:type="continuationSeparator" w:id="0">
    <w:p w14:paraId="630B91D1" w14:textId="77777777" w:rsidR="00EE6CB9" w:rsidRDefault="00EE6CB9" w:rsidP="00A96B21">
      <w:r>
        <w:continuationSeparator/>
      </w:r>
    </w:p>
  </w:endnote>
  <w:endnote w:type="continuationNotice" w:id="1">
    <w:p w14:paraId="091DCD49" w14:textId="77777777" w:rsidR="00EE6CB9" w:rsidRDefault="00EE6CB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78745602"/>
      <w:docPartObj>
        <w:docPartGallery w:val="Page Numbers (Bottom of Page)"/>
        <w:docPartUnique/>
      </w:docPartObj>
    </w:sdtPr>
    <w:sdtContent>
      <w:sdt>
        <w:sdtPr>
          <w:id w:val="1601221097"/>
          <w:docPartObj>
            <w:docPartGallery w:val="Page Numbers (Top of Page)"/>
            <w:docPartUnique/>
          </w:docPartObj>
        </w:sdtPr>
        <w:sdtContent>
          <w:p w14:paraId="75EA36C9" w14:textId="77777777" w:rsidR="00D142CA" w:rsidRDefault="00D142CA">
            <w:pPr>
              <w:pStyle w:val="Piedepgina"/>
            </w:pPr>
            <w:r w:rsidRPr="002B559C">
              <w:rPr>
                <w:sz w:val="20"/>
              </w:rPr>
              <w:fldChar w:fldCharType="begin"/>
            </w:r>
            <w:r w:rsidRPr="002B559C">
              <w:rPr>
                <w:sz w:val="20"/>
              </w:rPr>
              <w:instrText xml:space="preserve"> PAGE </w:instrText>
            </w:r>
            <w:r w:rsidRPr="002B559C">
              <w:rPr>
                <w:sz w:val="20"/>
              </w:rPr>
              <w:fldChar w:fldCharType="separate"/>
            </w:r>
            <w:r w:rsidRPr="002B559C">
              <w:rPr>
                <w:sz w:val="20"/>
              </w:rPr>
              <w:t>2</w:t>
            </w:r>
            <w:r w:rsidRPr="002B559C">
              <w:rPr>
                <w:sz w:val="20"/>
              </w:rPr>
              <w:fldChar w:fldCharType="end"/>
            </w:r>
            <w:r>
              <w:rPr>
                <w:sz w:val="20"/>
              </w:rPr>
              <w:t>/</w:t>
            </w:r>
            <w:r w:rsidRPr="002B559C">
              <w:rPr>
                <w:sz w:val="20"/>
              </w:rPr>
              <w:fldChar w:fldCharType="begin"/>
            </w:r>
            <w:r w:rsidRPr="002B559C">
              <w:rPr>
                <w:sz w:val="20"/>
              </w:rPr>
              <w:instrText xml:space="preserve"> NUMPAGES  </w:instrText>
            </w:r>
            <w:r w:rsidRPr="002B559C">
              <w:rPr>
                <w:sz w:val="20"/>
              </w:rPr>
              <w:fldChar w:fldCharType="separate"/>
            </w:r>
            <w:r w:rsidRPr="002B559C">
              <w:rPr>
                <w:sz w:val="20"/>
              </w:rPr>
              <w:t>2</w:t>
            </w:r>
            <w:r w:rsidRPr="002B559C">
              <w:rPr>
                <w:sz w:val="20"/>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86696978"/>
      <w:docPartObj>
        <w:docPartGallery w:val="Page Numbers (Bottom of Page)"/>
        <w:docPartUnique/>
      </w:docPartObj>
    </w:sdtPr>
    <w:sdtContent>
      <w:sdt>
        <w:sdtPr>
          <w:id w:val="-2045743300"/>
          <w:docPartObj>
            <w:docPartGallery w:val="Page Numbers (Top of Page)"/>
            <w:docPartUnique/>
          </w:docPartObj>
        </w:sdtPr>
        <w:sdtContent>
          <w:p w14:paraId="26F6FE15" w14:textId="77777777" w:rsidR="00D142CA" w:rsidRDefault="00D142CA" w:rsidP="002B559C">
            <w:pPr>
              <w:pStyle w:val="Piedepgina"/>
              <w:jc w:val="right"/>
            </w:pPr>
            <w:r w:rsidRPr="002B559C">
              <w:rPr>
                <w:sz w:val="20"/>
              </w:rPr>
              <w:fldChar w:fldCharType="begin"/>
            </w:r>
            <w:r w:rsidRPr="002B559C">
              <w:rPr>
                <w:sz w:val="20"/>
              </w:rPr>
              <w:instrText xml:space="preserve"> PAGE </w:instrText>
            </w:r>
            <w:r w:rsidRPr="002B559C">
              <w:rPr>
                <w:sz w:val="20"/>
              </w:rPr>
              <w:fldChar w:fldCharType="separate"/>
            </w:r>
            <w:r w:rsidRPr="002B559C">
              <w:rPr>
                <w:sz w:val="20"/>
              </w:rPr>
              <w:t>2</w:t>
            </w:r>
            <w:r w:rsidRPr="002B559C">
              <w:rPr>
                <w:sz w:val="20"/>
              </w:rPr>
              <w:fldChar w:fldCharType="end"/>
            </w:r>
            <w:r>
              <w:rPr>
                <w:sz w:val="20"/>
              </w:rPr>
              <w:t>/</w:t>
            </w:r>
            <w:r w:rsidRPr="002B559C">
              <w:rPr>
                <w:sz w:val="20"/>
              </w:rPr>
              <w:fldChar w:fldCharType="begin"/>
            </w:r>
            <w:r w:rsidRPr="002B559C">
              <w:rPr>
                <w:sz w:val="20"/>
              </w:rPr>
              <w:instrText xml:space="preserve"> NUMPAGES  </w:instrText>
            </w:r>
            <w:r w:rsidRPr="002B559C">
              <w:rPr>
                <w:sz w:val="20"/>
              </w:rPr>
              <w:fldChar w:fldCharType="separate"/>
            </w:r>
            <w:r w:rsidRPr="002B559C">
              <w:rPr>
                <w:sz w:val="20"/>
              </w:rPr>
              <w:t>2</w:t>
            </w:r>
            <w:r w:rsidRPr="002B559C">
              <w:rPr>
                <w:sz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DC52FB" w14:textId="77777777" w:rsidR="00EE6CB9" w:rsidRDefault="00EE6CB9" w:rsidP="00A96B21">
      <w:r>
        <w:separator/>
      </w:r>
    </w:p>
  </w:footnote>
  <w:footnote w:type="continuationSeparator" w:id="0">
    <w:p w14:paraId="5090A07D" w14:textId="77777777" w:rsidR="00EE6CB9" w:rsidRDefault="00EE6CB9" w:rsidP="00A96B21">
      <w:r>
        <w:continuationSeparator/>
      </w:r>
    </w:p>
  </w:footnote>
  <w:footnote w:type="continuationNotice" w:id="1">
    <w:p w14:paraId="1120FE79" w14:textId="77777777" w:rsidR="00EE6CB9" w:rsidRDefault="00EE6CB9"/>
  </w:footnote>
  <w:footnote w:id="2">
    <w:p w14:paraId="43F3C239" w14:textId="1ABC777F" w:rsidR="009166E1" w:rsidRPr="00701D57" w:rsidRDefault="009166E1">
      <w:pPr>
        <w:pStyle w:val="Textonotapie"/>
        <w:rPr>
          <w:sz w:val="18"/>
          <w:szCs w:val="18"/>
        </w:rPr>
      </w:pPr>
      <w:r>
        <w:rPr>
          <w:rStyle w:val="Refdenotaalpie"/>
          <w:sz w:val="18"/>
        </w:rPr>
        <w:t>*</w:t>
      </w:r>
      <w:r>
        <w:rPr>
          <w:sz w:val="18"/>
        </w:rPr>
        <w:t xml:space="preserve"> El presente proyecto de decisión fue preparado por el Presidente del Órgano Subsidiario sobre la Aplicación con el apoyo de la Secretaría después de la primera lectura de los temas 11 y 12 del programa. El texto del proyecto de decisión no fue examinado por el Órgano Subsidiario sobre la Aplicación en su cuarta reunión.</w:t>
      </w:r>
    </w:p>
  </w:footnote>
  <w:footnote w:id="3">
    <w:p w14:paraId="2A6CBA2A" w14:textId="11382223" w:rsidR="00CA4714" w:rsidRPr="003D30B8" w:rsidRDefault="00CA4714">
      <w:pPr>
        <w:pStyle w:val="Textonotapie"/>
        <w:rPr>
          <w:sz w:val="18"/>
          <w:szCs w:val="18"/>
        </w:rPr>
      </w:pPr>
      <w:r>
        <w:rPr>
          <w:rStyle w:val="Refdenotaalpie"/>
          <w:sz w:val="18"/>
          <w:szCs w:val="18"/>
        </w:rPr>
        <w:footnoteRef/>
      </w:r>
      <w:r>
        <w:rPr>
          <w:sz w:val="18"/>
        </w:rPr>
        <w:t xml:space="preserve"> Decisión </w:t>
      </w:r>
      <w:r w:rsidRPr="00670887">
        <w:rPr>
          <w:sz w:val="18"/>
        </w:rPr>
        <w:t>15/4</w:t>
      </w:r>
      <w:r>
        <w:rPr>
          <w:sz w:val="18"/>
        </w:rPr>
        <w:t>, anexo.</w:t>
      </w:r>
    </w:p>
  </w:footnote>
  <w:footnote w:id="4">
    <w:p w14:paraId="2D9705CC" w14:textId="578B6B91" w:rsidR="00927622" w:rsidRPr="00FE536D" w:rsidRDefault="00927622">
      <w:pPr>
        <w:pStyle w:val="Textonotapie"/>
        <w:rPr>
          <w:sz w:val="18"/>
          <w:szCs w:val="18"/>
        </w:rPr>
      </w:pPr>
      <w:r>
        <w:rPr>
          <w:rStyle w:val="Refdenotaalpie"/>
          <w:sz w:val="18"/>
          <w:szCs w:val="18"/>
        </w:rPr>
        <w:footnoteRef/>
      </w:r>
      <w:r>
        <w:t xml:space="preserve"> </w:t>
      </w:r>
      <w:r>
        <w:rPr>
          <w:sz w:val="18"/>
        </w:rPr>
        <w:t xml:space="preserve">Naciones Unidas, </w:t>
      </w:r>
      <w:r>
        <w:rPr>
          <w:i/>
          <w:iCs/>
          <w:sz w:val="18"/>
        </w:rPr>
        <w:t>Treaty Series</w:t>
      </w:r>
      <w:r>
        <w:rPr>
          <w:sz w:val="18"/>
        </w:rPr>
        <w:t>, vol. 1760, núm. 30619.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1" w:name="_Hlk137802784"/>
  <w:bookmarkStart w:id="2" w:name="_Hlk137802785"/>
  <w:p w14:paraId="7138B884" w14:textId="7D7A0F9B" w:rsidR="00D142CA" w:rsidRPr="002B559C" w:rsidRDefault="00000000" w:rsidP="002B559C">
    <w:pPr>
      <w:pStyle w:val="Encabezado"/>
      <w:pBdr>
        <w:bottom w:val="single" w:sz="4" w:space="1" w:color="auto"/>
      </w:pBdr>
      <w:spacing w:after="240"/>
      <w:rPr>
        <w:sz w:val="20"/>
        <w:szCs w:val="20"/>
      </w:rPr>
    </w:pPr>
    <w:sdt>
      <w:sdtPr>
        <w:rPr>
          <w:sz w:val="20"/>
          <w:szCs w:val="20"/>
        </w:rPr>
        <w:alias w:val="Subject"/>
        <w:tag w:val=""/>
        <w:id w:val="967328729"/>
        <w:dataBinding w:prefixMappings="xmlns:ns0='http://purl.org/dc/elements/1.1/' xmlns:ns1='http://schemas.openxmlformats.org/package/2006/metadata/core-properties' " w:xpath="/ns1:coreProperties[1]/ns0:subject[1]" w:storeItemID="{6C3C8BC8-F283-45AE-878A-BAB7291924A1}"/>
        <w:text/>
      </w:sdtPr>
      <w:sdtContent>
        <w:r w:rsidR="00B310BC">
          <w:rPr>
            <w:sz w:val="20"/>
            <w:szCs w:val="20"/>
            <w:lang w:val="fr-FR"/>
          </w:rPr>
          <w:t>CBD/SBI/REC/4/13</w:t>
        </w:r>
      </w:sdtContent>
    </w:sdt>
    <w:bookmarkEnd w:id="1"/>
    <w:bookmarkEnd w:id="2"/>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0"/>
        <w:szCs w:val="20"/>
      </w:rPr>
      <w:alias w:val="Subject"/>
      <w:tag w:val=""/>
      <w:id w:val="-1885015078"/>
      <w:dataBinding w:prefixMappings="xmlns:ns0='http://purl.org/dc/elements/1.1/' xmlns:ns1='http://schemas.openxmlformats.org/package/2006/metadata/core-properties' " w:xpath="/ns1:coreProperties[1]/ns0:subject[1]" w:storeItemID="{6C3C8BC8-F283-45AE-878A-BAB7291924A1}"/>
      <w:text/>
    </w:sdtPr>
    <w:sdtContent>
      <w:p w14:paraId="5CA522F9" w14:textId="4EB5AC3D" w:rsidR="00D142CA" w:rsidRPr="002B559C" w:rsidRDefault="00E2777F" w:rsidP="002B559C">
        <w:pPr>
          <w:pStyle w:val="Encabezado"/>
          <w:pBdr>
            <w:bottom w:val="single" w:sz="4" w:space="1" w:color="auto"/>
          </w:pBdr>
          <w:spacing w:after="240"/>
          <w:jc w:val="right"/>
          <w:rPr>
            <w:sz w:val="20"/>
            <w:szCs w:val="20"/>
            <w:lang w:val="fr-FR"/>
          </w:rPr>
        </w:pPr>
        <w:r>
          <w:rPr>
            <w:sz w:val="20"/>
            <w:szCs w:val="20"/>
            <w:lang w:val="fr-FR"/>
          </w:rPr>
          <w:t>CBD/SBI/REC/4</w:t>
        </w:r>
        <w:r w:rsidR="00AC6C68">
          <w:rPr>
            <w:sz w:val="20"/>
            <w:szCs w:val="20"/>
            <w:lang w:val="fr-FR"/>
          </w:rPr>
          <w:t>/</w:t>
        </w:r>
        <w:r w:rsidR="00B310BC">
          <w:rPr>
            <w:sz w:val="20"/>
            <w:szCs w:val="20"/>
            <w:lang w:val="fr-FR"/>
          </w:rPr>
          <w:t>13</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6471C4"/>
    <w:multiLevelType w:val="hybridMultilevel"/>
    <w:tmpl w:val="8C4CCCD8"/>
    <w:lvl w:ilvl="0" w:tplc="A546EF44">
      <w:start w:val="8"/>
      <w:numFmt w:val="lowerLetter"/>
      <w:lvlText w:val="(%1)"/>
      <w:lvlJc w:val="left"/>
      <w:pPr>
        <w:ind w:left="726" w:hanging="360"/>
      </w:pPr>
      <w:rPr>
        <w:rFonts w:hint="default"/>
      </w:rPr>
    </w:lvl>
    <w:lvl w:ilvl="1" w:tplc="04090019" w:tentative="1">
      <w:start w:val="1"/>
      <w:numFmt w:val="lowerLetter"/>
      <w:lvlText w:val="%2."/>
      <w:lvlJc w:val="left"/>
      <w:pPr>
        <w:ind w:left="1446" w:hanging="360"/>
      </w:pPr>
    </w:lvl>
    <w:lvl w:ilvl="2" w:tplc="0409001B" w:tentative="1">
      <w:start w:val="1"/>
      <w:numFmt w:val="lowerRoman"/>
      <w:lvlText w:val="%3."/>
      <w:lvlJc w:val="right"/>
      <w:pPr>
        <w:ind w:left="2166" w:hanging="180"/>
      </w:pPr>
    </w:lvl>
    <w:lvl w:ilvl="3" w:tplc="0409000F" w:tentative="1">
      <w:start w:val="1"/>
      <w:numFmt w:val="decimal"/>
      <w:lvlText w:val="%4."/>
      <w:lvlJc w:val="left"/>
      <w:pPr>
        <w:ind w:left="2886" w:hanging="360"/>
      </w:pPr>
    </w:lvl>
    <w:lvl w:ilvl="4" w:tplc="04090019" w:tentative="1">
      <w:start w:val="1"/>
      <w:numFmt w:val="lowerLetter"/>
      <w:lvlText w:val="%5."/>
      <w:lvlJc w:val="left"/>
      <w:pPr>
        <w:ind w:left="3606" w:hanging="360"/>
      </w:pPr>
    </w:lvl>
    <w:lvl w:ilvl="5" w:tplc="0409001B" w:tentative="1">
      <w:start w:val="1"/>
      <w:numFmt w:val="lowerRoman"/>
      <w:lvlText w:val="%6."/>
      <w:lvlJc w:val="right"/>
      <w:pPr>
        <w:ind w:left="4326" w:hanging="180"/>
      </w:pPr>
    </w:lvl>
    <w:lvl w:ilvl="6" w:tplc="0409000F" w:tentative="1">
      <w:start w:val="1"/>
      <w:numFmt w:val="decimal"/>
      <w:lvlText w:val="%7."/>
      <w:lvlJc w:val="left"/>
      <w:pPr>
        <w:ind w:left="5046" w:hanging="360"/>
      </w:pPr>
    </w:lvl>
    <w:lvl w:ilvl="7" w:tplc="04090019" w:tentative="1">
      <w:start w:val="1"/>
      <w:numFmt w:val="lowerLetter"/>
      <w:lvlText w:val="%8."/>
      <w:lvlJc w:val="left"/>
      <w:pPr>
        <w:ind w:left="5766" w:hanging="360"/>
      </w:pPr>
    </w:lvl>
    <w:lvl w:ilvl="8" w:tplc="0409001B" w:tentative="1">
      <w:start w:val="1"/>
      <w:numFmt w:val="lowerRoman"/>
      <w:lvlText w:val="%9."/>
      <w:lvlJc w:val="right"/>
      <w:pPr>
        <w:ind w:left="6486" w:hanging="180"/>
      </w:pPr>
    </w:lvl>
  </w:abstractNum>
  <w:abstractNum w:abstractNumId="1" w15:restartNumberingAfterBreak="0">
    <w:nsid w:val="0A493ED1"/>
    <w:multiLevelType w:val="hybridMultilevel"/>
    <w:tmpl w:val="08609BB2"/>
    <w:lvl w:ilvl="0" w:tplc="FFFFFFFF">
      <w:start w:val="1"/>
      <w:numFmt w:val="lowerLetter"/>
      <w:lvlText w:val="(%1)"/>
      <w:lvlJc w:val="left"/>
      <w:pPr>
        <w:ind w:left="1138" w:hanging="640"/>
      </w:pPr>
      <w:rPr>
        <w:rFonts w:hint="default"/>
      </w:rPr>
    </w:lvl>
    <w:lvl w:ilvl="1" w:tplc="FFFFFFFF" w:tentative="1">
      <w:start w:val="1"/>
      <w:numFmt w:val="lowerLetter"/>
      <w:lvlText w:val="%2."/>
      <w:lvlJc w:val="left"/>
      <w:pPr>
        <w:ind w:left="1578" w:hanging="360"/>
      </w:pPr>
    </w:lvl>
    <w:lvl w:ilvl="2" w:tplc="FFFFFFFF" w:tentative="1">
      <w:start w:val="1"/>
      <w:numFmt w:val="lowerRoman"/>
      <w:lvlText w:val="%3."/>
      <w:lvlJc w:val="right"/>
      <w:pPr>
        <w:ind w:left="2298" w:hanging="180"/>
      </w:pPr>
    </w:lvl>
    <w:lvl w:ilvl="3" w:tplc="FFFFFFFF" w:tentative="1">
      <w:start w:val="1"/>
      <w:numFmt w:val="decimal"/>
      <w:lvlText w:val="%4."/>
      <w:lvlJc w:val="left"/>
      <w:pPr>
        <w:ind w:left="3018" w:hanging="360"/>
      </w:pPr>
    </w:lvl>
    <w:lvl w:ilvl="4" w:tplc="FFFFFFFF" w:tentative="1">
      <w:start w:val="1"/>
      <w:numFmt w:val="lowerLetter"/>
      <w:lvlText w:val="%5."/>
      <w:lvlJc w:val="left"/>
      <w:pPr>
        <w:ind w:left="3738" w:hanging="360"/>
      </w:pPr>
    </w:lvl>
    <w:lvl w:ilvl="5" w:tplc="FFFFFFFF" w:tentative="1">
      <w:start w:val="1"/>
      <w:numFmt w:val="lowerRoman"/>
      <w:lvlText w:val="%6."/>
      <w:lvlJc w:val="right"/>
      <w:pPr>
        <w:ind w:left="4458" w:hanging="180"/>
      </w:pPr>
    </w:lvl>
    <w:lvl w:ilvl="6" w:tplc="FFFFFFFF" w:tentative="1">
      <w:start w:val="1"/>
      <w:numFmt w:val="decimal"/>
      <w:lvlText w:val="%7."/>
      <w:lvlJc w:val="left"/>
      <w:pPr>
        <w:ind w:left="5178" w:hanging="360"/>
      </w:pPr>
    </w:lvl>
    <w:lvl w:ilvl="7" w:tplc="FFFFFFFF" w:tentative="1">
      <w:start w:val="1"/>
      <w:numFmt w:val="lowerLetter"/>
      <w:lvlText w:val="%8."/>
      <w:lvlJc w:val="left"/>
      <w:pPr>
        <w:ind w:left="5898" w:hanging="360"/>
      </w:pPr>
    </w:lvl>
    <w:lvl w:ilvl="8" w:tplc="FFFFFFFF" w:tentative="1">
      <w:start w:val="1"/>
      <w:numFmt w:val="lowerRoman"/>
      <w:lvlText w:val="%9."/>
      <w:lvlJc w:val="right"/>
      <w:pPr>
        <w:ind w:left="6618" w:hanging="180"/>
      </w:pPr>
    </w:lvl>
  </w:abstractNum>
  <w:abstractNum w:abstractNumId="2" w15:restartNumberingAfterBreak="0">
    <w:nsid w:val="12074D2D"/>
    <w:multiLevelType w:val="hybridMultilevel"/>
    <w:tmpl w:val="6F70A67A"/>
    <w:lvl w:ilvl="0" w:tplc="307EBE1C">
      <w:start w:val="1"/>
      <w:numFmt w:val="lowerRoman"/>
      <w:lvlText w:val="(%1)"/>
      <w:lvlJc w:val="left"/>
      <w:pPr>
        <w:ind w:left="1138" w:hanging="640"/>
      </w:pPr>
      <w:rPr>
        <w:rFonts w:hint="default"/>
      </w:rPr>
    </w:lvl>
    <w:lvl w:ilvl="1" w:tplc="FFFFFFFF" w:tentative="1">
      <w:start w:val="1"/>
      <w:numFmt w:val="lowerLetter"/>
      <w:lvlText w:val="%2."/>
      <w:lvlJc w:val="left"/>
      <w:pPr>
        <w:ind w:left="1578" w:hanging="360"/>
      </w:pPr>
    </w:lvl>
    <w:lvl w:ilvl="2" w:tplc="FFFFFFFF" w:tentative="1">
      <w:start w:val="1"/>
      <w:numFmt w:val="lowerRoman"/>
      <w:lvlText w:val="%3."/>
      <w:lvlJc w:val="right"/>
      <w:pPr>
        <w:ind w:left="2298" w:hanging="180"/>
      </w:pPr>
    </w:lvl>
    <w:lvl w:ilvl="3" w:tplc="FFFFFFFF" w:tentative="1">
      <w:start w:val="1"/>
      <w:numFmt w:val="decimal"/>
      <w:lvlText w:val="%4."/>
      <w:lvlJc w:val="left"/>
      <w:pPr>
        <w:ind w:left="3018" w:hanging="360"/>
      </w:pPr>
    </w:lvl>
    <w:lvl w:ilvl="4" w:tplc="FFFFFFFF" w:tentative="1">
      <w:start w:val="1"/>
      <w:numFmt w:val="lowerLetter"/>
      <w:lvlText w:val="%5."/>
      <w:lvlJc w:val="left"/>
      <w:pPr>
        <w:ind w:left="3738" w:hanging="360"/>
      </w:pPr>
    </w:lvl>
    <w:lvl w:ilvl="5" w:tplc="FFFFFFFF" w:tentative="1">
      <w:start w:val="1"/>
      <w:numFmt w:val="lowerRoman"/>
      <w:lvlText w:val="%6."/>
      <w:lvlJc w:val="right"/>
      <w:pPr>
        <w:ind w:left="4458" w:hanging="180"/>
      </w:pPr>
    </w:lvl>
    <w:lvl w:ilvl="6" w:tplc="FFFFFFFF" w:tentative="1">
      <w:start w:val="1"/>
      <w:numFmt w:val="decimal"/>
      <w:lvlText w:val="%7."/>
      <w:lvlJc w:val="left"/>
      <w:pPr>
        <w:ind w:left="5178" w:hanging="360"/>
      </w:pPr>
    </w:lvl>
    <w:lvl w:ilvl="7" w:tplc="FFFFFFFF" w:tentative="1">
      <w:start w:val="1"/>
      <w:numFmt w:val="lowerLetter"/>
      <w:lvlText w:val="%8."/>
      <w:lvlJc w:val="left"/>
      <w:pPr>
        <w:ind w:left="5898" w:hanging="360"/>
      </w:pPr>
    </w:lvl>
    <w:lvl w:ilvl="8" w:tplc="FFFFFFFF" w:tentative="1">
      <w:start w:val="1"/>
      <w:numFmt w:val="lowerRoman"/>
      <w:lvlText w:val="%9."/>
      <w:lvlJc w:val="right"/>
      <w:pPr>
        <w:ind w:left="6618" w:hanging="180"/>
      </w:pPr>
    </w:lvl>
  </w:abstractNum>
  <w:abstractNum w:abstractNumId="3" w15:restartNumberingAfterBreak="0">
    <w:nsid w:val="1DBD1D07"/>
    <w:multiLevelType w:val="hybridMultilevel"/>
    <w:tmpl w:val="8DEAA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FA6E10"/>
    <w:multiLevelType w:val="hybridMultilevel"/>
    <w:tmpl w:val="0CF80BDC"/>
    <w:lvl w:ilvl="0" w:tplc="807A2ECE">
      <w:start w:val="1"/>
      <w:numFmt w:val="decimal"/>
      <w:lvlText w:val="%1."/>
      <w:lvlJc w:val="left"/>
      <w:pPr>
        <w:ind w:left="927" w:hanging="360"/>
      </w:pPr>
      <w:rPr>
        <w:rFonts w:hint="default"/>
      </w:rPr>
    </w:lvl>
    <w:lvl w:ilvl="1" w:tplc="10090019" w:tentative="1">
      <w:start w:val="1"/>
      <w:numFmt w:val="lowerLetter"/>
      <w:lvlText w:val="%2."/>
      <w:lvlJc w:val="left"/>
      <w:pPr>
        <w:ind w:left="1647" w:hanging="360"/>
      </w:pPr>
    </w:lvl>
    <w:lvl w:ilvl="2" w:tplc="1009001B" w:tentative="1">
      <w:start w:val="1"/>
      <w:numFmt w:val="lowerRoman"/>
      <w:lvlText w:val="%3."/>
      <w:lvlJc w:val="right"/>
      <w:pPr>
        <w:ind w:left="2367" w:hanging="180"/>
      </w:p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abstractNum w:abstractNumId="5" w15:restartNumberingAfterBreak="0">
    <w:nsid w:val="2247306A"/>
    <w:multiLevelType w:val="hybridMultilevel"/>
    <w:tmpl w:val="6E60F7DC"/>
    <w:lvl w:ilvl="0" w:tplc="5906913C">
      <w:start w:val="1"/>
      <w:numFmt w:val="decimal"/>
      <w:lvlText w:val="%1."/>
      <w:lvlJc w:val="right"/>
      <w:pPr>
        <w:ind w:left="927" w:hanging="360"/>
      </w:pPr>
      <w:rPr>
        <w:rFonts w:hint="default"/>
      </w:rPr>
    </w:lvl>
    <w:lvl w:ilvl="1" w:tplc="10090019" w:tentative="1">
      <w:start w:val="1"/>
      <w:numFmt w:val="lowerLetter"/>
      <w:lvlText w:val="%2."/>
      <w:lvlJc w:val="left"/>
      <w:pPr>
        <w:ind w:left="2313" w:hanging="360"/>
      </w:pPr>
    </w:lvl>
    <w:lvl w:ilvl="2" w:tplc="1009001B" w:tentative="1">
      <w:start w:val="1"/>
      <w:numFmt w:val="lowerRoman"/>
      <w:lvlText w:val="%3."/>
      <w:lvlJc w:val="right"/>
      <w:pPr>
        <w:ind w:left="3033" w:hanging="180"/>
      </w:pPr>
    </w:lvl>
    <w:lvl w:ilvl="3" w:tplc="1009000F" w:tentative="1">
      <w:start w:val="1"/>
      <w:numFmt w:val="decimal"/>
      <w:lvlText w:val="%4."/>
      <w:lvlJc w:val="left"/>
      <w:pPr>
        <w:ind w:left="3753" w:hanging="360"/>
      </w:pPr>
    </w:lvl>
    <w:lvl w:ilvl="4" w:tplc="10090019" w:tentative="1">
      <w:start w:val="1"/>
      <w:numFmt w:val="lowerLetter"/>
      <w:lvlText w:val="%5."/>
      <w:lvlJc w:val="left"/>
      <w:pPr>
        <w:ind w:left="4473" w:hanging="360"/>
      </w:pPr>
    </w:lvl>
    <w:lvl w:ilvl="5" w:tplc="1009001B" w:tentative="1">
      <w:start w:val="1"/>
      <w:numFmt w:val="lowerRoman"/>
      <w:lvlText w:val="%6."/>
      <w:lvlJc w:val="right"/>
      <w:pPr>
        <w:ind w:left="5193" w:hanging="180"/>
      </w:pPr>
    </w:lvl>
    <w:lvl w:ilvl="6" w:tplc="1009000F" w:tentative="1">
      <w:start w:val="1"/>
      <w:numFmt w:val="decimal"/>
      <w:lvlText w:val="%7."/>
      <w:lvlJc w:val="left"/>
      <w:pPr>
        <w:ind w:left="5913" w:hanging="360"/>
      </w:pPr>
    </w:lvl>
    <w:lvl w:ilvl="7" w:tplc="10090019" w:tentative="1">
      <w:start w:val="1"/>
      <w:numFmt w:val="lowerLetter"/>
      <w:lvlText w:val="%8."/>
      <w:lvlJc w:val="left"/>
      <w:pPr>
        <w:ind w:left="6633" w:hanging="360"/>
      </w:pPr>
    </w:lvl>
    <w:lvl w:ilvl="8" w:tplc="1009001B" w:tentative="1">
      <w:start w:val="1"/>
      <w:numFmt w:val="lowerRoman"/>
      <w:lvlText w:val="%9."/>
      <w:lvlJc w:val="right"/>
      <w:pPr>
        <w:ind w:left="7353" w:hanging="180"/>
      </w:pPr>
    </w:lvl>
  </w:abstractNum>
  <w:abstractNum w:abstractNumId="6" w15:restartNumberingAfterBreak="0">
    <w:nsid w:val="257532C8"/>
    <w:multiLevelType w:val="hybridMultilevel"/>
    <w:tmpl w:val="C8C6E0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8A90C32"/>
    <w:multiLevelType w:val="hybridMultilevel"/>
    <w:tmpl w:val="F4A86298"/>
    <w:lvl w:ilvl="0" w:tplc="CFF47566">
      <w:start w:val="1"/>
      <w:numFmt w:val="decimal"/>
      <w:lvlText w:val="%1."/>
      <w:lvlJc w:val="left"/>
      <w:pPr>
        <w:ind w:left="1494" w:hanging="360"/>
      </w:pPr>
      <w:rPr>
        <w:rFonts w:hint="default"/>
      </w:rPr>
    </w:lvl>
    <w:lvl w:ilvl="1" w:tplc="10090019" w:tentative="1">
      <w:start w:val="1"/>
      <w:numFmt w:val="lowerLetter"/>
      <w:lvlText w:val="%2."/>
      <w:lvlJc w:val="left"/>
      <w:pPr>
        <w:ind w:left="2007" w:hanging="360"/>
      </w:pPr>
    </w:lvl>
    <w:lvl w:ilvl="2" w:tplc="1009001B" w:tentative="1">
      <w:start w:val="1"/>
      <w:numFmt w:val="lowerRoman"/>
      <w:lvlText w:val="%3."/>
      <w:lvlJc w:val="right"/>
      <w:pPr>
        <w:ind w:left="2727" w:hanging="180"/>
      </w:pPr>
    </w:lvl>
    <w:lvl w:ilvl="3" w:tplc="1009000F" w:tentative="1">
      <w:start w:val="1"/>
      <w:numFmt w:val="decimal"/>
      <w:lvlText w:val="%4."/>
      <w:lvlJc w:val="left"/>
      <w:pPr>
        <w:ind w:left="3447" w:hanging="360"/>
      </w:pPr>
    </w:lvl>
    <w:lvl w:ilvl="4" w:tplc="10090019" w:tentative="1">
      <w:start w:val="1"/>
      <w:numFmt w:val="lowerLetter"/>
      <w:lvlText w:val="%5."/>
      <w:lvlJc w:val="left"/>
      <w:pPr>
        <w:ind w:left="4167" w:hanging="360"/>
      </w:pPr>
    </w:lvl>
    <w:lvl w:ilvl="5" w:tplc="1009001B" w:tentative="1">
      <w:start w:val="1"/>
      <w:numFmt w:val="lowerRoman"/>
      <w:lvlText w:val="%6."/>
      <w:lvlJc w:val="right"/>
      <w:pPr>
        <w:ind w:left="4887" w:hanging="180"/>
      </w:pPr>
    </w:lvl>
    <w:lvl w:ilvl="6" w:tplc="1009000F" w:tentative="1">
      <w:start w:val="1"/>
      <w:numFmt w:val="decimal"/>
      <w:lvlText w:val="%7."/>
      <w:lvlJc w:val="left"/>
      <w:pPr>
        <w:ind w:left="5607" w:hanging="360"/>
      </w:pPr>
    </w:lvl>
    <w:lvl w:ilvl="7" w:tplc="10090019" w:tentative="1">
      <w:start w:val="1"/>
      <w:numFmt w:val="lowerLetter"/>
      <w:lvlText w:val="%8."/>
      <w:lvlJc w:val="left"/>
      <w:pPr>
        <w:ind w:left="6327" w:hanging="360"/>
      </w:pPr>
    </w:lvl>
    <w:lvl w:ilvl="8" w:tplc="1009001B" w:tentative="1">
      <w:start w:val="1"/>
      <w:numFmt w:val="lowerRoman"/>
      <w:lvlText w:val="%9."/>
      <w:lvlJc w:val="right"/>
      <w:pPr>
        <w:ind w:left="7047" w:hanging="180"/>
      </w:pPr>
    </w:lvl>
  </w:abstractNum>
  <w:abstractNum w:abstractNumId="8" w15:restartNumberingAfterBreak="0">
    <w:nsid w:val="28F31E2A"/>
    <w:multiLevelType w:val="hybridMultilevel"/>
    <w:tmpl w:val="28629C36"/>
    <w:lvl w:ilvl="0" w:tplc="367A5790">
      <w:start w:val="1"/>
      <w:numFmt w:val="decimal"/>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9" w15:restartNumberingAfterBreak="0">
    <w:nsid w:val="29154E33"/>
    <w:multiLevelType w:val="hybridMultilevel"/>
    <w:tmpl w:val="5CCC54E2"/>
    <w:lvl w:ilvl="0" w:tplc="307EBE1C">
      <w:start w:val="1"/>
      <w:numFmt w:val="lowerRoman"/>
      <w:lvlText w:val="(%1)"/>
      <w:lvlJc w:val="left"/>
      <w:pPr>
        <w:ind w:left="1138" w:hanging="640"/>
      </w:pPr>
      <w:rPr>
        <w:rFonts w:hint="default"/>
      </w:rPr>
    </w:lvl>
    <w:lvl w:ilvl="1" w:tplc="FFFFFFFF" w:tentative="1">
      <w:start w:val="1"/>
      <w:numFmt w:val="lowerLetter"/>
      <w:lvlText w:val="%2."/>
      <w:lvlJc w:val="left"/>
      <w:pPr>
        <w:ind w:left="1578" w:hanging="360"/>
      </w:pPr>
    </w:lvl>
    <w:lvl w:ilvl="2" w:tplc="FFFFFFFF" w:tentative="1">
      <w:start w:val="1"/>
      <w:numFmt w:val="lowerRoman"/>
      <w:lvlText w:val="%3."/>
      <w:lvlJc w:val="right"/>
      <w:pPr>
        <w:ind w:left="2298" w:hanging="180"/>
      </w:pPr>
    </w:lvl>
    <w:lvl w:ilvl="3" w:tplc="FFFFFFFF" w:tentative="1">
      <w:start w:val="1"/>
      <w:numFmt w:val="decimal"/>
      <w:lvlText w:val="%4."/>
      <w:lvlJc w:val="left"/>
      <w:pPr>
        <w:ind w:left="3018" w:hanging="360"/>
      </w:pPr>
    </w:lvl>
    <w:lvl w:ilvl="4" w:tplc="FFFFFFFF" w:tentative="1">
      <w:start w:val="1"/>
      <w:numFmt w:val="lowerLetter"/>
      <w:lvlText w:val="%5."/>
      <w:lvlJc w:val="left"/>
      <w:pPr>
        <w:ind w:left="3738" w:hanging="360"/>
      </w:pPr>
    </w:lvl>
    <w:lvl w:ilvl="5" w:tplc="FFFFFFFF" w:tentative="1">
      <w:start w:val="1"/>
      <w:numFmt w:val="lowerRoman"/>
      <w:lvlText w:val="%6."/>
      <w:lvlJc w:val="right"/>
      <w:pPr>
        <w:ind w:left="4458" w:hanging="180"/>
      </w:pPr>
    </w:lvl>
    <w:lvl w:ilvl="6" w:tplc="FFFFFFFF" w:tentative="1">
      <w:start w:val="1"/>
      <w:numFmt w:val="decimal"/>
      <w:lvlText w:val="%7."/>
      <w:lvlJc w:val="left"/>
      <w:pPr>
        <w:ind w:left="5178" w:hanging="360"/>
      </w:pPr>
    </w:lvl>
    <w:lvl w:ilvl="7" w:tplc="FFFFFFFF" w:tentative="1">
      <w:start w:val="1"/>
      <w:numFmt w:val="lowerLetter"/>
      <w:lvlText w:val="%8."/>
      <w:lvlJc w:val="left"/>
      <w:pPr>
        <w:ind w:left="5898" w:hanging="360"/>
      </w:pPr>
    </w:lvl>
    <w:lvl w:ilvl="8" w:tplc="FFFFFFFF" w:tentative="1">
      <w:start w:val="1"/>
      <w:numFmt w:val="lowerRoman"/>
      <w:lvlText w:val="%9."/>
      <w:lvlJc w:val="right"/>
      <w:pPr>
        <w:ind w:left="6618" w:hanging="180"/>
      </w:pPr>
    </w:lvl>
  </w:abstractNum>
  <w:abstractNum w:abstractNumId="10" w15:restartNumberingAfterBreak="0">
    <w:nsid w:val="2AC17AC3"/>
    <w:multiLevelType w:val="hybridMultilevel"/>
    <w:tmpl w:val="08609BB2"/>
    <w:lvl w:ilvl="0" w:tplc="FFFFFFFF">
      <w:start w:val="1"/>
      <w:numFmt w:val="lowerLetter"/>
      <w:lvlText w:val="(%1)"/>
      <w:lvlJc w:val="left"/>
      <w:pPr>
        <w:ind w:left="1138" w:hanging="640"/>
      </w:pPr>
      <w:rPr>
        <w:rFonts w:hint="default"/>
      </w:rPr>
    </w:lvl>
    <w:lvl w:ilvl="1" w:tplc="FFFFFFFF" w:tentative="1">
      <w:start w:val="1"/>
      <w:numFmt w:val="lowerLetter"/>
      <w:lvlText w:val="%2."/>
      <w:lvlJc w:val="left"/>
      <w:pPr>
        <w:ind w:left="1578" w:hanging="360"/>
      </w:pPr>
    </w:lvl>
    <w:lvl w:ilvl="2" w:tplc="FFFFFFFF" w:tentative="1">
      <w:start w:val="1"/>
      <w:numFmt w:val="lowerRoman"/>
      <w:lvlText w:val="%3."/>
      <w:lvlJc w:val="right"/>
      <w:pPr>
        <w:ind w:left="2298" w:hanging="180"/>
      </w:pPr>
    </w:lvl>
    <w:lvl w:ilvl="3" w:tplc="FFFFFFFF" w:tentative="1">
      <w:start w:val="1"/>
      <w:numFmt w:val="decimal"/>
      <w:lvlText w:val="%4."/>
      <w:lvlJc w:val="left"/>
      <w:pPr>
        <w:ind w:left="3018" w:hanging="360"/>
      </w:pPr>
    </w:lvl>
    <w:lvl w:ilvl="4" w:tplc="FFFFFFFF" w:tentative="1">
      <w:start w:val="1"/>
      <w:numFmt w:val="lowerLetter"/>
      <w:lvlText w:val="%5."/>
      <w:lvlJc w:val="left"/>
      <w:pPr>
        <w:ind w:left="3738" w:hanging="360"/>
      </w:pPr>
    </w:lvl>
    <w:lvl w:ilvl="5" w:tplc="FFFFFFFF" w:tentative="1">
      <w:start w:val="1"/>
      <w:numFmt w:val="lowerRoman"/>
      <w:lvlText w:val="%6."/>
      <w:lvlJc w:val="right"/>
      <w:pPr>
        <w:ind w:left="4458" w:hanging="180"/>
      </w:pPr>
    </w:lvl>
    <w:lvl w:ilvl="6" w:tplc="FFFFFFFF" w:tentative="1">
      <w:start w:val="1"/>
      <w:numFmt w:val="decimal"/>
      <w:lvlText w:val="%7."/>
      <w:lvlJc w:val="left"/>
      <w:pPr>
        <w:ind w:left="5178" w:hanging="360"/>
      </w:pPr>
    </w:lvl>
    <w:lvl w:ilvl="7" w:tplc="FFFFFFFF" w:tentative="1">
      <w:start w:val="1"/>
      <w:numFmt w:val="lowerLetter"/>
      <w:lvlText w:val="%8."/>
      <w:lvlJc w:val="left"/>
      <w:pPr>
        <w:ind w:left="5898" w:hanging="360"/>
      </w:pPr>
    </w:lvl>
    <w:lvl w:ilvl="8" w:tplc="FFFFFFFF" w:tentative="1">
      <w:start w:val="1"/>
      <w:numFmt w:val="lowerRoman"/>
      <w:lvlText w:val="%9."/>
      <w:lvlJc w:val="right"/>
      <w:pPr>
        <w:ind w:left="6618" w:hanging="180"/>
      </w:pPr>
    </w:lvl>
  </w:abstractNum>
  <w:abstractNum w:abstractNumId="11" w15:restartNumberingAfterBreak="0">
    <w:nsid w:val="33E80680"/>
    <w:multiLevelType w:val="hybridMultilevel"/>
    <w:tmpl w:val="338E2D32"/>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2" w15:restartNumberingAfterBreak="0">
    <w:nsid w:val="42934610"/>
    <w:multiLevelType w:val="hybridMultilevel"/>
    <w:tmpl w:val="7A6AB640"/>
    <w:lvl w:ilvl="0" w:tplc="1BE0BD02">
      <w:start w:val="1"/>
      <w:numFmt w:val="lowerLetter"/>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67961CE"/>
    <w:multiLevelType w:val="hybridMultilevel"/>
    <w:tmpl w:val="AFDCF908"/>
    <w:lvl w:ilvl="0" w:tplc="371C7C0E">
      <w:start w:val="1"/>
      <w:numFmt w:val="upp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4E0442B4"/>
    <w:multiLevelType w:val="multilevel"/>
    <w:tmpl w:val="6406B29E"/>
    <w:lvl w:ilvl="0">
      <w:start w:val="1"/>
      <w:numFmt w:val="decimal"/>
      <w:lvlText w:val="%1."/>
      <w:lvlJc w:val="left"/>
      <w:pPr>
        <w:tabs>
          <w:tab w:val="num" w:pos="360"/>
        </w:tabs>
        <w:ind w:left="0" w:firstLine="0"/>
      </w:pPr>
      <w:rPr>
        <w:rFonts w:ascii="Times New Roman" w:eastAsia="MS Mincho" w:hAnsi="Times New Roman" w:cs="Angsana New"/>
        <w:b w:val="0"/>
        <w:i w:val="0"/>
        <w:sz w:val="22"/>
        <w:szCs w:val="22"/>
      </w:rPr>
    </w:lvl>
    <w:lvl w:ilvl="1">
      <w:start w:val="1"/>
      <w:numFmt w:val="lowerLetter"/>
      <w:lvlText w:val="(%2)"/>
      <w:lvlJc w:val="left"/>
      <w:pPr>
        <w:tabs>
          <w:tab w:val="num" w:pos="1440"/>
        </w:tabs>
        <w:ind w:left="0" w:firstLine="720"/>
      </w:pPr>
      <w:rPr>
        <w:rFonts w:hint="default"/>
        <w:b w:val="0"/>
        <w:i w:val="0"/>
      </w:rPr>
    </w:lvl>
    <w:lvl w:ilvl="2">
      <w:start w:val="1"/>
      <w:numFmt w:val="lowerRoman"/>
      <w:pStyle w:val="Para3"/>
      <w:lvlText w:val="(%3)"/>
      <w:lvlJc w:val="right"/>
      <w:pPr>
        <w:tabs>
          <w:tab w:val="num" w:pos="1260"/>
        </w:tabs>
        <w:ind w:left="1260" w:hanging="360"/>
      </w:pPr>
      <w:rPr>
        <w:rFonts w:hint="default"/>
      </w:rPr>
    </w:lvl>
    <w:lvl w:ilvl="3">
      <w:start w:val="1"/>
      <w:numFmt w:val="lowerRoman"/>
      <w:lvlText w:val="%4."/>
      <w:lvlJc w:val="right"/>
      <w:pPr>
        <w:tabs>
          <w:tab w:val="num" w:pos="2160"/>
        </w:tabs>
        <w:ind w:left="2160" w:hanging="720"/>
      </w:pPr>
      <w:rPr>
        <w:rFonts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360"/>
        </w:tabs>
        <w:ind w:left="36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15:restartNumberingAfterBreak="0">
    <w:nsid w:val="5395409C"/>
    <w:multiLevelType w:val="hybridMultilevel"/>
    <w:tmpl w:val="07B4D422"/>
    <w:lvl w:ilvl="0" w:tplc="2DEE47E4">
      <w:start w:val="1"/>
      <w:numFmt w:val="decimal"/>
      <w:lvlText w:val="%1."/>
      <w:lvlJc w:val="left"/>
      <w:pPr>
        <w:ind w:left="927" w:hanging="360"/>
      </w:pPr>
      <w:rPr>
        <w:rFonts w:hint="default"/>
      </w:rPr>
    </w:lvl>
    <w:lvl w:ilvl="1" w:tplc="10090019" w:tentative="1">
      <w:start w:val="1"/>
      <w:numFmt w:val="lowerLetter"/>
      <w:lvlText w:val="%2."/>
      <w:lvlJc w:val="left"/>
      <w:pPr>
        <w:ind w:left="1647" w:hanging="360"/>
      </w:pPr>
    </w:lvl>
    <w:lvl w:ilvl="2" w:tplc="1009001B" w:tentative="1">
      <w:start w:val="1"/>
      <w:numFmt w:val="lowerRoman"/>
      <w:lvlText w:val="%3."/>
      <w:lvlJc w:val="right"/>
      <w:pPr>
        <w:ind w:left="2367" w:hanging="180"/>
      </w:p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abstractNum w:abstractNumId="16" w15:restartNumberingAfterBreak="0">
    <w:nsid w:val="599F7710"/>
    <w:multiLevelType w:val="hybridMultilevel"/>
    <w:tmpl w:val="1D280138"/>
    <w:lvl w:ilvl="0" w:tplc="3DF4418A">
      <w:start w:val="1"/>
      <w:numFmt w:val="decimal"/>
      <w:pStyle w:val="Ttulo3"/>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5E180578"/>
    <w:multiLevelType w:val="hybridMultilevel"/>
    <w:tmpl w:val="251AB796"/>
    <w:lvl w:ilvl="0" w:tplc="8862B882">
      <w:start w:val="1"/>
      <w:numFmt w:val="lowerLetter"/>
      <w:pStyle w:val="Para2"/>
      <w:lvlText w:val="(%1)"/>
      <w:lvlJc w:val="left"/>
      <w:pPr>
        <w:ind w:left="927" w:hanging="360"/>
      </w:pPr>
      <w:rPr>
        <w:rFonts w:ascii="Times New Roman" w:hAnsi="Times New Roman" w:hint="default"/>
        <w:b w:val="0"/>
        <w:i w:val="0"/>
        <w:caps w:val="0"/>
        <w:strike w:val="0"/>
        <w:dstrike w:val="0"/>
        <w:vanish w:val="0"/>
        <w:color w:val="auto"/>
        <w:spacing w:val="0"/>
        <w:kern w:val="22"/>
        <w:position w:val="0"/>
        <w:sz w:val="22"/>
        <w:vertAlign w:val="baseline"/>
      </w:rPr>
    </w:lvl>
    <w:lvl w:ilvl="1" w:tplc="10090019" w:tentative="1">
      <w:start w:val="1"/>
      <w:numFmt w:val="lowerLetter"/>
      <w:lvlText w:val="%2."/>
      <w:lvlJc w:val="left"/>
      <w:pPr>
        <w:ind w:left="2466" w:hanging="360"/>
      </w:pPr>
    </w:lvl>
    <w:lvl w:ilvl="2" w:tplc="1009001B" w:tentative="1">
      <w:start w:val="1"/>
      <w:numFmt w:val="lowerRoman"/>
      <w:lvlText w:val="%3."/>
      <w:lvlJc w:val="right"/>
      <w:pPr>
        <w:ind w:left="3186" w:hanging="180"/>
      </w:pPr>
    </w:lvl>
    <w:lvl w:ilvl="3" w:tplc="1009000F" w:tentative="1">
      <w:start w:val="1"/>
      <w:numFmt w:val="decimal"/>
      <w:lvlText w:val="%4."/>
      <w:lvlJc w:val="left"/>
      <w:pPr>
        <w:ind w:left="3906" w:hanging="360"/>
      </w:pPr>
    </w:lvl>
    <w:lvl w:ilvl="4" w:tplc="10090019" w:tentative="1">
      <w:start w:val="1"/>
      <w:numFmt w:val="lowerLetter"/>
      <w:lvlText w:val="%5."/>
      <w:lvlJc w:val="left"/>
      <w:pPr>
        <w:ind w:left="4626" w:hanging="360"/>
      </w:pPr>
    </w:lvl>
    <w:lvl w:ilvl="5" w:tplc="1009001B" w:tentative="1">
      <w:start w:val="1"/>
      <w:numFmt w:val="lowerRoman"/>
      <w:lvlText w:val="%6."/>
      <w:lvlJc w:val="right"/>
      <w:pPr>
        <w:ind w:left="5346" w:hanging="180"/>
      </w:pPr>
    </w:lvl>
    <w:lvl w:ilvl="6" w:tplc="1009000F" w:tentative="1">
      <w:start w:val="1"/>
      <w:numFmt w:val="decimal"/>
      <w:lvlText w:val="%7."/>
      <w:lvlJc w:val="left"/>
      <w:pPr>
        <w:ind w:left="6066" w:hanging="360"/>
      </w:pPr>
    </w:lvl>
    <w:lvl w:ilvl="7" w:tplc="10090019" w:tentative="1">
      <w:start w:val="1"/>
      <w:numFmt w:val="lowerLetter"/>
      <w:lvlText w:val="%8."/>
      <w:lvlJc w:val="left"/>
      <w:pPr>
        <w:ind w:left="6786" w:hanging="360"/>
      </w:pPr>
    </w:lvl>
    <w:lvl w:ilvl="8" w:tplc="1009001B" w:tentative="1">
      <w:start w:val="1"/>
      <w:numFmt w:val="lowerRoman"/>
      <w:lvlText w:val="%9."/>
      <w:lvlJc w:val="right"/>
      <w:pPr>
        <w:ind w:left="7506" w:hanging="180"/>
      </w:pPr>
    </w:lvl>
  </w:abstractNum>
  <w:abstractNum w:abstractNumId="18" w15:restartNumberingAfterBreak="0">
    <w:nsid w:val="60C41482"/>
    <w:multiLevelType w:val="hybridMultilevel"/>
    <w:tmpl w:val="08609BB2"/>
    <w:lvl w:ilvl="0" w:tplc="517C9B80">
      <w:start w:val="1"/>
      <w:numFmt w:val="lowerLetter"/>
      <w:lvlText w:val="(%1)"/>
      <w:lvlJc w:val="left"/>
      <w:pPr>
        <w:ind w:left="1138" w:hanging="640"/>
      </w:pPr>
      <w:rPr>
        <w:rFonts w:hint="default"/>
      </w:rPr>
    </w:lvl>
    <w:lvl w:ilvl="1" w:tplc="04090019" w:tentative="1">
      <w:start w:val="1"/>
      <w:numFmt w:val="lowerLetter"/>
      <w:lvlText w:val="%2."/>
      <w:lvlJc w:val="left"/>
      <w:pPr>
        <w:ind w:left="1578" w:hanging="360"/>
      </w:pPr>
    </w:lvl>
    <w:lvl w:ilvl="2" w:tplc="0409001B" w:tentative="1">
      <w:start w:val="1"/>
      <w:numFmt w:val="lowerRoman"/>
      <w:lvlText w:val="%3."/>
      <w:lvlJc w:val="right"/>
      <w:pPr>
        <w:ind w:left="2298" w:hanging="180"/>
      </w:pPr>
    </w:lvl>
    <w:lvl w:ilvl="3" w:tplc="0409000F" w:tentative="1">
      <w:start w:val="1"/>
      <w:numFmt w:val="decimal"/>
      <w:lvlText w:val="%4."/>
      <w:lvlJc w:val="left"/>
      <w:pPr>
        <w:ind w:left="3018" w:hanging="360"/>
      </w:pPr>
    </w:lvl>
    <w:lvl w:ilvl="4" w:tplc="04090019" w:tentative="1">
      <w:start w:val="1"/>
      <w:numFmt w:val="lowerLetter"/>
      <w:lvlText w:val="%5."/>
      <w:lvlJc w:val="left"/>
      <w:pPr>
        <w:ind w:left="3738" w:hanging="360"/>
      </w:pPr>
    </w:lvl>
    <w:lvl w:ilvl="5" w:tplc="0409001B" w:tentative="1">
      <w:start w:val="1"/>
      <w:numFmt w:val="lowerRoman"/>
      <w:lvlText w:val="%6."/>
      <w:lvlJc w:val="right"/>
      <w:pPr>
        <w:ind w:left="4458" w:hanging="180"/>
      </w:pPr>
    </w:lvl>
    <w:lvl w:ilvl="6" w:tplc="0409000F" w:tentative="1">
      <w:start w:val="1"/>
      <w:numFmt w:val="decimal"/>
      <w:lvlText w:val="%7."/>
      <w:lvlJc w:val="left"/>
      <w:pPr>
        <w:ind w:left="5178" w:hanging="360"/>
      </w:pPr>
    </w:lvl>
    <w:lvl w:ilvl="7" w:tplc="04090019" w:tentative="1">
      <w:start w:val="1"/>
      <w:numFmt w:val="lowerLetter"/>
      <w:lvlText w:val="%8."/>
      <w:lvlJc w:val="left"/>
      <w:pPr>
        <w:ind w:left="5898" w:hanging="360"/>
      </w:pPr>
    </w:lvl>
    <w:lvl w:ilvl="8" w:tplc="0409001B" w:tentative="1">
      <w:start w:val="1"/>
      <w:numFmt w:val="lowerRoman"/>
      <w:lvlText w:val="%9."/>
      <w:lvlJc w:val="right"/>
      <w:pPr>
        <w:ind w:left="6618" w:hanging="180"/>
      </w:pPr>
    </w:lvl>
  </w:abstractNum>
  <w:abstractNum w:abstractNumId="19" w15:restartNumberingAfterBreak="0">
    <w:nsid w:val="61FD7789"/>
    <w:multiLevelType w:val="hybridMultilevel"/>
    <w:tmpl w:val="A4D4C9A8"/>
    <w:lvl w:ilvl="0" w:tplc="660EAF7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53730A5"/>
    <w:multiLevelType w:val="hybridMultilevel"/>
    <w:tmpl w:val="EF5A0DAC"/>
    <w:lvl w:ilvl="0" w:tplc="0B8E98AE">
      <w:start w:val="1"/>
      <w:numFmt w:val="decimal"/>
      <w:lvlText w:val="%1."/>
      <w:lvlJc w:val="left"/>
      <w:pPr>
        <w:ind w:left="1287" w:hanging="360"/>
      </w:pPr>
      <w:rPr>
        <w:rFonts w:hint="default"/>
      </w:rPr>
    </w:lvl>
    <w:lvl w:ilvl="1" w:tplc="10090019" w:tentative="1">
      <w:start w:val="1"/>
      <w:numFmt w:val="lowerLetter"/>
      <w:lvlText w:val="%2."/>
      <w:lvlJc w:val="left"/>
      <w:pPr>
        <w:ind w:left="2007" w:hanging="360"/>
      </w:pPr>
    </w:lvl>
    <w:lvl w:ilvl="2" w:tplc="1009001B" w:tentative="1">
      <w:start w:val="1"/>
      <w:numFmt w:val="lowerRoman"/>
      <w:lvlText w:val="%3."/>
      <w:lvlJc w:val="right"/>
      <w:pPr>
        <w:ind w:left="2727" w:hanging="180"/>
      </w:pPr>
    </w:lvl>
    <w:lvl w:ilvl="3" w:tplc="1009000F" w:tentative="1">
      <w:start w:val="1"/>
      <w:numFmt w:val="decimal"/>
      <w:lvlText w:val="%4."/>
      <w:lvlJc w:val="left"/>
      <w:pPr>
        <w:ind w:left="3447" w:hanging="360"/>
      </w:pPr>
    </w:lvl>
    <w:lvl w:ilvl="4" w:tplc="10090019" w:tentative="1">
      <w:start w:val="1"/>
      <w:numFmt w:val="lowerLetter"/>
      <w:lvlText w:val="%5."/>
      <w:lvlJc w:val="left"/>
      <w:pPr>
        <w:ind w:left="4167" w:hanging="360"/>
      </w:pPr>
    </w:lvl>
    <w:lvl w:ilvl="5" w:tplc="1009001B" w:tentative="1">
      <w:start w:val="1"/>
      <w:numFmt w:val="lowerRoman"/>
      <w:lvlText w:val="%6."/>
      <w:lvlJc w:val="right"/>
      <w:pPr>
        <w:ind w:left="4887" w:hanging="180"/>
      </w:pPr>
    </w:lvl>
    <w:lvl w:ilvl="6" w:tplc="1009000F" w:tentative="1">
      <w:start w:val="1"/>
      <w:numFmt w:val="decimal"/>
      <w:lvlText w:val="%7."/>
      <w:lvlJc w:val="left"/>
      <w:pPr>
        <w:ind w:left="5607" w:hanging="360"/>
      </w:pPr>
    </w:lvl>
    <w:lvl w:ilvl="7" w:tplc="10090019" w:tentative="1">
      <w:start w:val="1"/>
      <w:numFmt w:val="lowerLetter"/>
      <w:lvlText w:val="%8."/>
      <w:lvlJc w:val="left"/>
      <w:pPr>
        <w:ind w:left="6327" w:hanging="360"/>
      </w:pPr>
    </w:lvl>
    <w:lvl w:ilvl="8" w:tplc="1009001B" w:tentative="1">
      <w:start w:val="1"/>
      <w:numFmt w:val="lowerRoman"/>
      <w:lvlText w:val="%9."/>
      <w:lvlJc w:val="right"/>
      <w:pPr>
        <w:ind w:left="7047" w:hanging="180"/>
      </w:pPr>
    </w:lvl>
  </w:abstractNum>
  <w:abstractNum w:abstractNumId="21" w15:restartNumberingAfterBreak="0">
    <w:nsid w:val="65D441B4"/>
    <w:multiLevelType w:val="hybridMultilevel"/>
    <w:tmpl w:val="7C10E144"/>
    <w:lvl w:ilvl="0" w:tplc="2DEE47E4">
      <w:start w:val="1"/>
      <w:numFmt w:val="decimal"/>
      <w:lvlText w:val="%1."/>
      <w:lvlJc w:val="left"/>
      <w:pPr>
        <w:ind w:left="927" w:hanging="360"/>
      </w:pPr>
      <w:rPr>
        <w:rFonts w:hint="default"/>
      </w:rPr>
    </w:lvl>
    <w:lvl w:ilvl="1" w:tplc="10090019" w:tentative="1">
      <w:start w:val="1"/>
      <w:numFmt w:val="lowerLetter"/>
      <w:lvlText w:val="%2."/>
      <w:lvlJc w:val="left"/>
      <w:pPr>
        <w:ind w:left="1647" w:hanging="360"/>
      </w:pPr>
    </w:lvl>
    <w:lvl w:ilvl="2" w:tplc="1009001B" w:tentative="1">
      <w:start w:val="1"/>
      <w:numFmt w:val="lowerRoman"/>
      <w:lvlText w:val="%3."/>
      <w:lvlJc w:val="right"/>
      <w:pPr>
        <w:ind w:left="2367" w:hanging="180"/>
      </w:p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abstractNum w:abstractNumId="22" w15:restartNumberingAfterBreak="0">
    <w:nsid w:val="65ED0129"/>
    <w:multiLevelType w:val="hybridMultilevel"/>
    <w:tmpl w:val="426EE956"/>
    <w:lvl w:ilvl="0" w:tplc="307EBE1C">
      <w:start w:val="1"/>
      <w:numFmt w:val="lowerRoman"/>
      <w:lvlText w:val="(%1)"/>
      <w:lvlJc w:val="left"/>
      <w:pPr>
        <w:ind w:left="1138" w:hanging="640"/>
      </w:pPr>
      <w:rPr>
        <w:rFonts w:hint="default"/>
      </w:rPr>
    </w:lvl>
    <w:lvl w:ilvl="1" w:tplc="FFFFFFFF" w:tentative="1">
      <w:start w:val="1"/>
      <w:numFmt w:val="lowerLetter"/>
      <w:lvlText w:val="%2."/>
      <w:lvlJc w:val="left"/>
      <w:pPr>
        <w:ind w:left="1578" w:hanging="360"/>
      </w:pPr>
    </w:lvl>
    <w:lvl w:ilvl="2" w:tplc="FFFFFFFF" w:tentative="1">
      <w:start w:val="1"/>
      <w:numFmt w:val="lowerRoman"/>
      <w:lvlText w:val="%3."/>
      <w:lvlJc w:val="right"/>
      <w:pPr>
        <w:ind w:left="2298" w:hanging="180"/>
      </w:pPr>
    </w:lvl>
    <w:lvl w:ilvl="3" w:tplc="FFFFFFFF" w:tentative="1">
      <w:start w:val="1"/>
      <w:numFmt w:val="decimal"/>
      <w:lvlText w:val="%4."/>
      <w:lvlJc w:val="left"/>
      <w:pPr>
        <w:ind w:left="3018" w:hanging="360"/>
      </w:pPr>
    </w:lvl>
    <w:lvl w:ilvl="4" w:tplc="FFFFFFFF" w:tentative="1">
      <w:start w:val="1"/>
      <w:numFmt w:val="lowerLetter"/>
      <w:lvlText w:val="%5."/>
      <w:lvlJc w:val="left"/>
      <w:pPr>
        <w:ind w:left="3738" w:hanging="360"/>
      </w:pPr>
    </w:lvl>
    <w:lvl w:ilvl="5" w:tplc="FFFFFFFF" w:tentative="1">
      <w:start w:val="1"/>
      <w:numFmt w:val="lowerRoman"/>
      <w:lvlText w:val="%6."/>
      <w:lvlJc w:val="right"/>
      <w:pPr>
        <w:ind w:left="4458" w:hanging="180"/>
      </w:pPr>
    </w:lvl>
    <w:lvl w:ilvl="6" w:tplc="FFFFFFFF" w:tentative="1">
      <w:start w:val="1"/>
      <w:numFmt w:val="decimal"/>
      <w:lvlText w:val="%7."/>
      <w:lvlJc w:val="left"/>
      <w:pPr>
        <w:ind w:left="5178" w:hanging="360"/>
      </w:pPr>
    </w:lvl>
    <w:lvl w:ilvl="7" w:tplc="FFFFFFFF" w:tentative="1">
      <w:start w:val="1"/>
      <w:numFmt w:val="lowerLetter"/>
      <w:lvlText w:val="%8."/>
      <w:lvlJc w:val="left"/>
      <w:pPr>
        <w:ind w:left="5898" w:hanging="360"/>
      </w:pPr>
    </w:lvl>
    <w:lvl w:ilvl="8" w:tplc="FFFFFFFF" w:tentative="1">
      <w:start w:val="1"/>
      <w:numFmt w:val="lowerRoman"/>
      <w:lvlText w:val="%9."/>
      <w:lvlJc w:val="right"/>
      <w:pPr>
        <w:ind w:left="6618" w:hanging="180"/>
      </w:pPr>
    </w:lvl>
  </w:abstractNum>
  <w:abstractNum w:abstractNumId="23" w15:restartNumberingAfterBreak="0">
    <w:nsid w:val="68B70991"/>
    <w:multiLevelType w:val="hybridMultilevel"/>
    <w:tmpl w:val="C7B2AEF4"/>
    <w:lvl w:ilvl="0" w:tplc="6B98FDBC">
      <w:start w:val="1"/>
      <w:numFmt w:val="decimal"/>
      <w:pStyle w:val="Para1"/>
      <w:lvlText w:val="%1."/>
      <w:lvlJc w:val="left"/>
      <w:pPr>
        <w:ind w:left="927" w:hanging="360"/>
      </w:pPr>
      <w:rPr>
        <w:rFonts w:hint="default"/>
      </w:rPr>
    </w:lvl>
    <w:lvl w:ilvl="1" w:tplc="10090019" w:tentative="1">
      <w:start w:val="1"/>
      <w:numFmt w:val="lowerLetter"/>
      <w:lvlText w:val="%2."/>
      <w:lvlJc w:val="left"/>
      <w:pPr>
        <w:ind w:left="1647" w:hanging="360"/>
      </w:pPr>
    </w:lvl>
    <w:lvl w:ilvl="2" w:tplc="1009001B" w:tentative="1">
      <w:start w:val="1"/>
      <w:numFmt w:val="lowerRoman"/>
      <w:lvlText w:val="%3."/>
      <w:lvlJc w:val="right"/>
      <w:pPr>
        <w:ind w:left="2367" w:hanging="180"/>
      </w:p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abstractNum w:abstractNumId="24" w15:restartNumberingAfterBreak="0">
    <w:nsid w:val="74274B37"/>
    <w:multiLevelType w:val="hybridMultilevel"/>
    <w:tmpl w:val="961654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4F368B8"/>
    <w:multiLevelType w:val="hybridMultilevel"/>
    <w:tmpl w:val="CB8E8B36"/>
    <w:lvl w:ilvl="0" w:tplc="43B25192">
      <w:start w:val="1"/>
      <w:numFmt w:val="upperLetter"/>
      <w:lvlText w:val="%1."/>
      <w:lvlJc w:val="left"/>
      <w:pPr>
        <w:ind w:left="927" w:hanging="360"/>
      </w:pPr>
      <w:rPr>
        <w:rFonts w:hint="default"/>
      </w:rPr>
    </w:lvl>
    <w:lvl w:ilvl="1" w:tplc="10090019" w:tentative="1">
      <w:start w:val="1"/>
      <w:numFmt w:val="lowerLetter"/>
      <w:lvlText w:val="%2."/>
      <w:lvlJc w:val="left"/>
      <w:pPr>
        <w:ind w:left="1647" w:hanging="360"/>
      </w:pPr>
    </w:lvl>
    <w:lvl w:ilvl="2" w:tplc="1009001B" w:tentative="1">
      <w:start w:val="1"/>
      <w:numFmt w:val="lowerRoman"/>
      <w:lvlText w:val="%3."/>
      <w:lvlJc w:val="right"/>
      <w:pPr>
        <w:ind w:left="2367" w:hanging="180"/>
      </w:p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abstractNum w:abstractNumId="26" w15:restartNumberingAfterBreak="0">
    <w:nsid w:val="7BFF494A"/>
    <w:multiLevelType w:val="hybridMultilevel"/>
    <w:tmpl w:val="B8C27F8A"/>
    <w:lvl w:ilvl="0" w:tplc="48DEED9E">
      <w:start w:val="1"/>
      <w:numFmt w:val="lowerRoman"/>
      <w:pStyle w:val="Para30"/>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7" w15:restartNumberingAfterBreak="0">
    <w:nsid w:val="7ED46C58"/>
    <w:multiLevelType w:val="hybridMultilevel"/>
    <w:tmpl w:val="069E18DA"/>
    <w:lvl w:ilvl="0" w:tplc="890C22DE">
      <w:start w:val="1"/>
      <w:numFmt w:val="lowerLetter"/>
      <w:lvlText w:val="(%1)"/>
      <w:lvlJc w:val="left"/>
      <w:pPr>
        <w:ind w:left="770" w:hanging="41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34528349">
    <w:abstractNumId w:val="13"/>
  </w:num>
  <w:num w:numId="2" w16cid:durableId="1904480901">
    <w:abstractNumId w:val="23"/>
  </w:num>
  <w:num w:numId="3" w16cid:durableId="1942178185">
    <w:abstractNumId w:val="25"/>
  </w:num>
  <w:num w:numId="4" w16cid:durableId="129791789">
    <w:abstractNumId w:val="4"/>
  </w:num>
  <w:num w:numId="5" w16cid:durableId="1936131510">
    <w:abstractNumId w:val="5"/>
  </w:num>
  <w:num w:numId="6" w16cid:durableId="675427181">
    <w:abstractNumId w:val="5"/>
  </w:num>
  <w:num w:numId="7" w16cid:durableId="1081876340">
    <w:abstractNumId w:val="8"/>
  </w:num>
  <w:num w:numId="8" w16cid:durableId="645939512">
    <w:abstractNumId w:val="16"/>
  </w:num>
  <w:num w:numId="9" w16cid:durableId="1193305208">
    <w:abstractNumId w:val="21"/>
  </w:num>
  <w:num w:numId="10" w16cid:durableId="1993363109">
    <w:abstractNumId w:val="20"/>
  </w:num>
  <w:num w:numId="11" w16cid:durableId="904295936">
    <w:abstractNumId w:val="15"/>
  </w:num>
  <w:num w:numId="12" w16cid:durableId="1885949633">
    <w:abstractNumId w:val="7"/>
  </w:num>
  <w:num w:numId="13" w16cid:durableId="1015109979">
    <w:abstractNumId w:val="7"/>
    <w:lvlOverride w:ilvl="0">
      <w:startOverride w:val="1"/>
    </w:lvlOverride>
  </w:num>
  <w:num w:numId="14" w16cid:durableId="1674992762">
    <w:abstractNumId w:val="17"/>
  </w:num>
  <w:num w:numId="15" w16cid:durableId="637149397">
    <w:abstractNumId w:val="17"/>
    <w:lvlOverride w:ilvl="0">
      <w:startOverride w:val="1"/>
    </w:lvlOverride>
  </w:num>
  <w:num w:numId="16" w16cid:durableId="2124767978">
    <w:abstractNumId w:val="23"/>
    <w:lvlOverride w:ilvl="0">
      <w:startOverride w:val="1"/>
    </w:lvlOverride>
  </w:num>
  <w:num w:numId="17" w16cid:durableId="1884058727">
    <w:abstractNumId w:val="17"/>
    <w:lvlOverride w:ilvl="0">
      <w:startOverride w:val="1"/>
    </w:lvlOverride>
  </w:num>
  <w:num w:numId="18" w16cid:durableId="802389149">
    <w:abstractNumId w:val="26"/>
  </w:num>
  <w:num w:numId="19" w16cid:durableId="887228458">
    <w:abstractNumId w:val="23"/>
    <w:lvlOverride w:ilvl="0">
      <w:startOverride w:val="1"/>
    </w:lvlOverride>
  </w:num>
  <w:num w:numId="20" w16cid:durableId="2031493968">
    <w:abstractNumId w:val="23"/>
    <w:lvlOverride w:ilvl="0">
      <w:startOverride w:val="1"/>
    </w:lvlOverride>
  </w:num>
  <w:num w:numId="21" w16cid:durableId="588583935">
    <w:abstractNumId w:val="14"/>
  </w:num>
  <w:num w:numId="22" w16cid:durableId="55129302">
    <w:abstractNumId w:val="14"/>
    <w:lvlOverride w:ilvl="0">
      <w:startOverride w:val="1"/>
    </w:lvlOverride>
  </w:num>
  <w:num w:numId="23" w16cid:durableId="994914948">
    <w:abstractNumId w:val="23"/>
    <w:lvlOverride w:ilvl="0">
      <w:startOverride w:val="1"/>
    </w:lvlOverride>
  </w:num>
  <w:num w:numId="24" w16cid:durableId="1074935240">
    <w:abstractNumId w:val="12"/>
  </w:num>
  <w:num w:numId="25" w16cid:durableId="1281061772">
    <w:abstractNumId w:val="11"/>
  </w:num>
  <w:num w:numId="26" w16cid:durableId="683824963">
    <w:abstractNumId w:val="3"/>
  </w:num>
  <w:num w:numId="27" w16cid:durableId="1061899916">
    <w:abstractNumId w:val="18"/>
  </w:num>
  <w:num w:numId="28" w16cid:durableId="1683508535">
    <w:abstractNumId w:val="19"/>
  </w:num>
  <w:num w:numId="29" w16cid:durableId="46610108">
    <w:abstractNumId w:val="10"/>
  </w:num>
  <w:num w:numId="30" w16cid:durableId="643975177">
    <w:abstractNumId w:val="6"/>
  </w:num>
  <w:num w:numId="31" w16cid:durableId="872771090">
    <w:abstractNumId w:val="24"/>
  </w:num>
  <w:num w:numId="32" w16cid:durableId="493957310">
    <w:abstractNumId w:val="1"/>
  </w:num>
  <w:num w:numId="33" w16cid:durableId="1040203830">
    <w:abstractNumId w:val="22"/>
  </w:num>
  <w:num w:numId="34" w16cid:durableId="829247557">
    <w:abstractNumId w:val="9"/>
  </w:num>
  <w:num w:numId="35" w16cid:durableId="162012270">
    <w:abstractNumId w:val="0"/>
  </w:num>
  <w:num w:numId="36" w16cid:durableId="2141068874">
    <w:abstractNumId w:val="2"/>
  </w:num>
  <w:num w:numId="37" w16cid:durableId="1982924588">
    <w:abstractNumId w:val="23"/>
  </w:num>
  <w:num w:numId="38" w16cid:durableId="1350452990">
    <w:abstractNumId w:val="23"/>
  </w:num>
  <w:num w:numId="39" w16cid:durableId="960302714">
    <w:abstractNumId w:val="23"/>
  </w:num>
  <w:num w:numId="40" w16cid:durableId="1055742780">
    <w:abstractNumId w:val="27"/>
  </w:num>
  <w:num w:numId="41" w16cid:durableId="378942650">
    <w:abstractNumId w:val="23"/>
  </w:num>
  <w:num w:numId="42" w16cid:durableId="1464152746">
    <w:abstractNumId w:val="23"/>
  </w:num>
  <w:num w:numId="43" w16cid:durableId="891844871">
    <w:abstractNumId w:val="23"/>
  </w:num>
  <w:num w:numId="44" w16cid:durableId="249120575">
    <w:abstractNumId w:val="23"/>
  </w:num>
  <w:num w:numId="45" w16cid:durableId="421487176">
    <w:abstractNumId w:val="23"/>
  </w:num>
  <w:num w:numId="46" w16cid:durableId="1459684484">
    <w:abstractNumId w:val="23"/>
  </w:num>
  <w:num w:numId="47" w16cid:durableId="1300771423">
    <w:abstractNumId w:val="23"/>
  </w:num>
  <w:num w:numId="48" w16cid:durableId="3350186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5"/>
  <w:proofState w:spelling="clean" w:grammar="clean"/>
  <w:attachedTemplate r:id="rId1"/>
  <w:doNotTrackFormatting/>
  <w:defaultTabStop w:val="720"/>
  <w:hyphenationZone w:val="425"/>
  <w:evenAndOddHeaders/>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3AD6"/>
    <w:rsid w:val="000006C8"/>
    <w:rsid w:val="000013CA"/>
    <w:rsid w:val="00001FF5"/>
    <w:rsid w:val="00002391"/>
    <w:rsid w:val="00005359"/>
    <w:rsid w:val="00005594"/>
    <w:rsid w:val="00005A31"/>
    <w:rsid w:val="0000713F"/>
    <w:rsid w:val="00007426"/>
    <w:rsid w:val="00007F27"/>
    <w:rsid w:val="000116F9"/>
    <w:rsid w:val="00011952"/>
    <w:rsid w:val="000123F9"/>
    <w:rsid w:val="00014318"/>
    <w:rsid w:val="00014465"/>
    <w:rsid w:val="00015FBF"/>
    <w:rsid w:val="000160AE"/>
    <w:rsid w:val="00016C84"/>
    <w:rsid w:val="00017BE3"/>
    <w:rsid w:val="00024F92"/>
    <w:rsid w:val="00026674"/>
    <w:rsid w:val="0002694E"/>
    <w:rsid w:val="00027056"/>
    <w:rsid w:val="00027BF3"/>
    <w:rsid w:val="00031519"/>
    <w:rsid w:val="00031C79"/>
    <w:rsid w:val="00031E5A"/>
    <w:rsid w:val="00032633"/>
    <w:rsid w:val="00033B9B"/>
    <w:rsid w:val="00035005"/>
    <w:rsid w:val="000353BA"/>
    <w:rsid w:val="000379F0"/>
    <w:rsid w:val="00040598"/>
    <w:rsid w:val="00041541"/>
    <w:rsid w:val="00044DF3"/>
    <w:rsid w:val="00047449"/>
    <w:rsid w:val="00047ECA"/>
    <w:rsid w:val="000507CA"/>
    <w:rsid w:val="00051403"/>
    <w:rsid w:val="0005206D"/>
    <w:rsid w:val="00052B66"/>
    <w:rsid w:val="0005355D"/>
    <w:rsid w:val="000558B2"/>
    <w:rsid w:val="00057075"/>
    <w:rsid w:val="00060171"/>
    <w:rsid w:val="00061EAB"/>
    <w:rsid w:val="00064997"/>
    <w:rsid w:val="000656AA"/>
    <w:rsid w:val="00066569"/>
    <w:rsid w:val="000669DF"/>
    <w:rsid w:val="00067319"/>
    <w:rsid w:val="00067544"/>
    <w:rsid w:val="000675CB"/>
    <w:rsid w:val="0007043C"/>
    <w:rsid w:val="00073A02"/>
    <w:rsid w:val="00073A89"/>
    <w:rsid w:val="00074DBD"/>
    <w:rsid w:val="000773E2"/>
    <w:rsid w:val="00077749"/>
    <w:rsid w:val="00077E79"/>
    <w:rsid w:val="00077E9F"/>
    <w:rsid w:val="00082DCC"/>
    <w:rsid w:val="0008350D"/>
    <w:rsid w:val="000859CE"/>
    <w:rsid w:val="000869A2"/>
    <w:rsid w:val="00086CC2"/>
    <w:rsid w:val="0008728C"/>
    <w:rsid w:val="000907DE"/>
    <w:rsid w:val="00091EC6"/>
    <w:rsid w:val="00092522"/>
    <w:rsid w:val="000943B1"/>
    <w:rsid w:val="00095F0F"/>
    <w:rsid w:val="000961BA"/>
    <w:rsid w:val="00096324"/>
    <w:rsid w:val="00097E4D"/>
    <w:rsid w:val="000A05D5"/>
    <w:rsid w:val="000A0720"/>
    <w:rsid w:val="000A0A17"/>
    <w:rsid w:val="000A1281"/>
    <w:rsid w:val="000A165B"/>
    <w:rsid w:val="000A47E5"/>
    <w:rsid w:val="000A5E7E"/>
    <w:rsid w:val="000A6804"/>
    <w:rsid w:val="000A7EB3"/>
    <w:rsid w:val="000B1710"/>
    <w:rsid w:val="000B3CAF"/>
    <w:rsid w:val="000B50B1"/>
    <w:rsid w:val="000B66AA"/>
    <w:rsid w:val="000B6C5E"/>
    <w:rsid w:val="000C0E62"/>
    <w:rsid w:val="000C192E"/>
    <w:rsid w:val="000C2B4C"/>
    <w:rsid w:val="000C3416"/>
    <w:rsid w:val="000C5941"/>
    <w:rsid w:val="000C6996"/>
    <w:rsid w:val="000C6EEA"/>
    <w:rsid w:val="000C6F16"/>
    <w:rsid w:val="000D0EEF"/>
    <w:rsid w:val="000D12FC"/>
    <w:rsid w:val="000D1F72"/>
    <w:rsid w:val="000D45B0"/>
    <w:rsid w:val="000D4D1A"/>
    <w:rsid w:val="000D4DD2"/>
    <w:rsid w:val="000D4F28"/>
    <w:rsid w:val="000D551B"/>
    <w:rsid w:val="000D5AE3"/>
    <w:rsid w:val="000E0711"/>
    <w:rsid w:val="000E172C"/>
    <w:rsid w:val="000E22A8"/>
    <w:rsid w:val="000E28BB"/>
    <w:rsid w:val="000E71B2"/>
    <w:rsid w:val="000F12C5"/>
    <w:rsid w:val="000F17A3"/>
    <w:rsid w:val="000F1821"/>
    <w:rsid w:val="000F1D9E"/>
    <w:rsid w:val="000F3080"/>
    <w:rsid w:val="000F4097"/>
    <w:rsid w:val="000F457F"/>
    <w:rsid w:val="000F49DC"/>
    <w:rsid w:val="000F6192"/>
    <w:rsid w:val="000F63CB"/>
    <w:rsid w:val="000F7126"/>
    <w:rsid w:val="00101A1C"/>
    <w:rsid w:val="00101C22"/>
    <w:rsid w:val="0010270D"/>
    <w:rsid w:val="00103383"/>
    <w:rsid w:val="00104949"/>
    <w:rsid w:val="00104FF6"/>
    <w:rsid w:val="00105185"/>
    <w:rsid w:val="00110BC1"/>
    <w:rsid w:val="00111659"/>
    <w:rsid w:val="001127C6"/>
    <w:rsid w:val="001141B5"/>
    <w:rsid w:val="0011610B"/>
    <w:rsid w:val="00117412"/>
    <w:rsid w:val="00117F6A"/>
    <w:rsid w:val="0012034B"/>
    <w:rsid w:val="00121254"/>
    <w:rsid w:val="001214E6"/>
    <w:rsid w:val="0012202A"/>
    <w:rsid w:val="0012534A"/>
    <w:rsid w:val="0012539B"/>
    <w:rsid w:val="0012592E"/>
    <w:rsid w:val="00126B50"/>
    <w:rsid w:val="00126B53"/>
    <w:rsid w:val="0012724F"/>
    <w:rsid w:val="00127E7E"/>
    <w:rsid w:val="00127FC4"/>
    <w:rsid w:val="00131992"/>
    <w:rsid w:val="00132581"/>
    <w:rsid w:val="0013321B"/>
    <w:rsid w:val="00137D87"/>
    <w:rsid w:val="001426F9"/>
    <w:rsid w:val="00143580"/>
    <w:rsid w:val="00143AA2"/>
    <w:rsid w:val="00143B75"/>
    <w:rsid w:val="00144A13"/>
    <w:rsid w:val="00150EFE"/>
    <w:rsid w:val="00150F2B"/>
    <w:rsid w:val="00152895"/>
    <w:rsid w:val="0015555B"/>
    <w:rsid w:val="00156271"/>
    <w:rsid w:val="00156B4D"/>
    <w:rsid w:val="0015742B"/>
    <w:rsid w:val="00160F41"/>
    <w:rsid w:val="00162788"/>
    <w:rsid w:val="0016518B"/>
    <w:rsid w:val="00165C77"/>
    <w:rsid w:val="00165F1F"/>
    <w:rsid w:val="00167E15"/>
    <w:rsid w:val="001704A7"/>
    <w:rsid w:val="00171A8D"/>
    <w:rsid w:val="0017347F"/>
    <w:rsid w:val="00173D6A"/>
    <w:rsid w:val="00181756"/>
    <w:rsid w:val="00182617"/>
    <w:rsid w:val="00182A2D"/>
    <w:rsid w:val="0018363B"/>
    <w:rsid w:val="00183D9E"/>
    <w:rsid w:val="00184909"/>
    <w:rsid w:val="001850EF"/>
    <w:rsid w:val="00190968"/>
    <w:rsid w:val="00190B4B"/>
    <w:rsid w:val="00191555"/>
    <w:rsid w:val="00191CD1"/>
    <w:rsid w:val="00192D71"/>
    <w:rsid w:val="0019399D"/>
    <w:rsid w:val="0019402C"/>
    <w:rsid w:val="00197B4B"/>
    <w:rsid w:val="00197F74"/>
    <w:rsid w:val="001A17DE"/>
    <w:rsid w:val="001A231C"/>
    <w:rsid w:val="001A342E"/>
    <w:rsid w:val="001A3D2E"/>
    <w:rsid w:val="001A7DF1"/>
    <w:rsid w:val="001B1A4A"/>
    <w:rsid w:val="001B2549"/>
    <w:rsid w:val="001B289E"/>
    <w:rsid w:val="001B3FA6"/>
    <w:rsid w:val="001C0667"/>
    <w:rsid w:val="001C11E0"/>
    <w:rsid w:val="001C1E43"/>
    <w:rsid w:val="001C49DD"/>
    <w:rsid w:val="001C5C87"/>
    <w:rsid w:val="001C5C8F"/>
    <w:rsid w:val="001C5E62"/>
    <w:rsid w:val="001D0122"/>
    <w:rsid w:val="001D0240"/>
    <w:rsid w:val="001D1049"/>
    <w:rsid w:val="001D1F54"/>
    <w:rsid w:val="001D35BF"/>
    <w:rsid w:val="001D5062"/>
    <w:rsid w:val="001D6852"/>
    <w:rsid w:val="001D7501"/>
    <w:rsid w:val="001D7F60"/>
    <w:rsid w:val="001E04C2"/>
    <w:rsid w:val="001E0B60"/>
    <w:rsid w:val="001E27AD"/>
    <w:rsid w:val="001E319F"/>
    <w:rsid w:val="001E6205"/>
    <w:rsid w:val="001E727F"/>
    <w:rsid w:val="001F3948"/>
    <w:rsid w:val="001F3A63"/>
    <w:rsid w:val="001F3D45"/>
    <w:rsid w:val="001F43E6"/>
    <w:rsid w:val="001F4E54"/>
    <w:rsid w:val="001F6597"/>
    <w:rsid w:val="001F6F13"/>
    <w:rsid w:val="00200EBB"/>
    <w:rsid w:val="00204ACE"/>
    <w:rsid w:val="00204D58"/>
    <w:rsid w:val="00205326"/>
    <w:rsid w:val="00207DFC"/>
    <w:rsid w:val="002101D3"/>
    <w:rsid w:val="002103D3"/>
    <w:rsid w:val="0021093F"/>
    <w:rsid w:val="00210BD5"/>
    <w:rsid w:val="002111FC"/>
    <w:rsid w:val="00212181"/>
    <w:rsid w:val="00214E63"/>
    <w:rsid w:val="00215619"/>
    <w:rsid w:val="0022005D"/>
    <w:rsid w:val="00223782"/>
    <w:rsid w:val="00223D54"/>
    <w:rsid w:val="002254ED"/>
    <w:rsid w:val="002300E3"/>
    <w:rsid w:val="0023084C"/>
    <w:rsid w:val="002331EC"/>
    <w:rsid w:val="00234FD6"/>
    <w:rsid w:val="002371E4"/>
    <w:rsid w:val="00240C34"/>
    <w:rsid w:val="002425E6"/>
    <w:rsid w:val="00245C13"/>
    <w:rsid w:val="002478AC"/>
    <w:rsid w:val="0025085C"/>
    <w:rsid w:val="002515CC"/>
    <w:rsid w:val="00252AE8"/>
    <w:rsid w:val="00253108"/>
    <w:rsid w:val="00253BA6"/>
    <w:rsid w:val="0025400E"/>
    <w:rsid w:val="00255F27"/>
    <w:rsid w:val="00257059"/>
    <w:rsid w:val="002571DF"/>
    <w:rsid w:val="0026042E"/>
    <w:rsid w:val="00260702"/>
    <w:rsid w:val="002614BE"/>
    <w:rsid w:val="0026156F"/>
    <w:rsid w:val="00261EB0"/>
    <w:rsid w:val="00262EF1"/>
    <w:rsid w:val="00266C63"/>
    <w:rsid w:val="00267C67"/>
    <w:rsid w:val="00270249"/>
    <w:rsid w:val="002703DD"/>
    <w:rsid w:val="002714A3"/>
    <w:rsid w:val="00271DA0"/>
    <w:rsid w:val="002723F8"/>
    <w:rsid w:val="002737AA"/>
    <w:rsid w:val="00273F8C"/>
    <w:rsid w:val="0027455F"/>
    <w:rsid w:val="0027654A"/>
    <w:rsid w:val="0027680C"/>
    <w:rsid w:val="002802FC"/>
    <w:rsid w:val="00281A8D"/>
    <w:rsid w:val="0028216B"/>
    <w:rsid w:val="00282BB0"/>
    <w:rsid w:val="002837A6"/>
    <w:rsid w:val="00283EC2"/>
    <w:rsid w:val="00284274"/>
    <w:rsid w:val="00284AE8"/>
    <w:rsid w:val="00284FC9"/>
    <w:rsid w:val="002871E4"/>
    <w:rsid w:val="002878C1"/>
    <w:rsid w:val="00287F9F"/>
    <w:rsid w:val="00290682"/>
    <w:rsid w:val="00291EC3"/>
    <w:rsid w:val="00292310"/>
    <w:rsid w:val="00296C6F"/>
    <w:rsid w:val="002A0C8E"/>
    <w:rsid w:val="002A2954"/>
    <w:rsid w:val="002A2AAB"/>
    <w:rsid w:val="002A43B3"/>
    <w:rsid w:val="002A56CA"/>
    <w:rsid w:val="002B00CA"/>
    <w:rsid w:val="002B01A0"/>
    <w:rsid w:val="002B1150"/>
    <w:rsid w:val="002B1163"/>
    <w:rsid w:val="002B19EE"/>
    <w:rsid w:val="002B1FDD"/>
    <w:rsid w:val="002B2EE1"/>
    <w:rsid w:val="002B3E04"/>
    <w:rsid w:val="002B3F8D"/>
    <w:rsid w:val="002B559C"/>
    <w:rsid w:val="002B69B6"/>
    <w:rsid w:val="002B7186"/>
    <w:rsid w:val="002C0FBE"/>
    <w:rsid w:val="002C3713"/>
    <w:rsid w:val="002C4986"/>
    <w:rsid w:val="002C62AE"/>
    <w:rsid w:val="002C69AD"/>
    <w:rsid w:val="002C6D9B"/>
    <w:rsid w:val="002C733D"/>
    <w:rsid w:val="002C7D1A"/>
    <w:rsid w:val="002D181B"/>
    <w:rsid w:val="002D1CE7"/>
    <w:rsid w:val="002D2D81"/>
    <w:rsid w:val="002D364E"/>
    <w:rsid w:val="002D61A6"/>
    <w:rsid w:val="002E0CA4"/>
    <w:rsid w:val="002E125B"/>
    <w:rsid w:val="002E1525"/>
    <w:rsid w:val="002E2BAC"/>
    <w:rsid w:val="002E2D1C"/>
    <w:rsid w:val="002E4287"/>
    <w:rsid w:val="002E58C3"/>
    <w:rsid w:val="002E611F"/>
    <w:rsid w:val="002E690F"/>
    <w:rsid w:val="002E726E"/>
    <w:rsid w:val="002F0E71"/>
    <w:rsid w:val="002F11E9"/>
    <w:rsid w:val="002F19D3"/>
    <w:rsid w:val="002F23C8"/>
    <w:rsid w:val="002F6C28"/>
    <w:rsid w:val="002F6EA2"/>
    <w:rsid w:val="00301268"/>
    <w:rsid w:val="0030448C"/>
    <w:rsid w:val="003055C2"/>
    <w:rsid w:val="00305809"/>
    <w:rsid w:val="003063AE"/>
    <w:rsid w:val="00306FAA"/>
    <w:rsid w:val="00307EF4"/>
    <w:rsid w:val="00310608"/>
    <w:rsid w:val="00310DFB"/>
    <w:rsid w:val="00311E58"/>
    <w:rsid w:val="00313A35"/>
    <w:rsid w:val="00315D87"/>
    <w:rsid w:val="00316760"/>
    <w:rsid w:val="003168C1"/>
    <w:rsid w:val="00316B86"/>
    <w:rsid w:val="00317DBB"/>
    <w:rsid w:val="0032068A"/>
    <w:rsid w:val="003206F1"/>
    <w:rsid w:val="00321A02"/>
    <w:rsid w:val="003230AF"/>
    <w:rsid w:val="003233A0"/>
    <w:rsid w:val="00323F22"/>
    <w:rsid w:val="003242B9"/>
    <w:rsid w:val="0032464D"/>
    <w:rsid w:val="00327395"/>
    <w:rsid w:val="003277A9"/>
    <w:rsid w:val="003307F5"/>
    <w:rsid w:val="00332882"/>
    <w:rsid w:val="00335DC6"/>
    <w:rsid w:val="003360DB"/>
    <w:rsid w:val="003376F6"/>
    <w:rsid w:val="003378E3"/>
    <w:rsid w:val="00337EB6"/>
    <w:rsid w:val="0034000A"/>
    <w:rsid w:val="00345FBE"/>
    <w:rsid w:val="003476A9"/>
    <w:rsid w:val="00352E9B"/>
    <w:rsid w:val="00353D04"/>
    <w:rsid w:val="003545AE"/>
    <w:rsid w:val="00355079"/>
    <w:rsid w:val="00355306"/>
    <w:rsid w:val="00355EE7"/>
    <w:rsid w:val="00356088"/>
    <w:rsid w:val="003561C9"/>
    <w:rsid w:val="003561F9"/>
    <w:rsid w:val="00356FD7"/>
    <w:rsid w:val="0036151C"/>
    <w:rsid w:val="00361908"/>
    <w:rsid w:val="00362A65"/>
    <w:rsid w:val="00364372"/>
    <w:rsid w:val="00364C7A"/>
    <w:rsid w:val="00364CC5"/>
    <w:rsid w:val="0036722F"/>
    <w:rsid w:val="00367A46"/>
    <w:rsid w:val="00370175"/>
    <w:rsid w:val="003710F9"/>
    <w:rsid w:val="00372171"/>
    <w:rsid w:val="003724DF"/>
    <w:rsid w:val="003724E8"/>
    <w:rsid w:val="00376EFE"/>
    <w:rsid w:val="003776F0"/>
    <w:rsid w:val="0038048A"/>
    <w:rsid w:val="003846A0"/>
    <w:rsid w:val="003852A8"/>
    <w:rsid w:val="0038535A"/>
    <w:rsid w:val="00386C32"/>
    <w:rsid w:val="00387976"/>
    <w:rsid w:val="00390DD2"/>
    <w:rsid w:val="00390FF7"/>
    <w:rsid w:val="00391B40"/>
    <w:rsid w:val="00391B4F"/>
    <w:rsid w:val="003925E7"/>
    <w:rsid w:val="00393855"/>
    <w:rsid w:val="003A269C"/>
    <w:rsid w:val="003A6FB4"/>
    <w:rsid w:val="003A7A59"/>
    <w:rsid w:val="003B0A63"/>
    <w:rsid w:val="003B0B89"/>
    <w:rsid w:val="003B0E25"/>
    <w:rsid w:val="003B1C3B"/>
    <w:rsid w:val="003B225D"/>
    <w:rsid w:val="003B22B6"/>
    <w:rsid w:val="003B2F10"/>
    <w:rsid w:val="003B585F"/>
    <w:rsid w:val="003B5D3B"/>
    <w:rsid w:val="003B5DE4"/>
    <w:rsid w:val="003B5FC2"/>
    <w:rsid w:val="003B602A"/>
    <w:rsid w:val="003B6BE8"/>
    <w:rsid w:val="003B765F"/>
    <w:rsid w:val="003C05AE"/>
    <w:rsid w:val="003C15B5"/>
    <w:rsid w:val="003C3B3B"/>
    <w:rsid w:val="003C3E02"/>
    <w:rsid w:val="003C69C5"/>
    <w:rsid w:val="003C6C2F"/>
    <w:rsid w:val="003C6F10"/>
    <w:rsid w:val="003D1396"/>
    <w:rsid w:val="003D16D3"/>
    <w:rsid w:val="003D2DF1"/>
    <w:rsid w:val="003D30B8"/>
    <w:rsid w:val="003D3D52"/>
    <w:rsid w:val="003D6065"/>
    <w:rsid w:val="003D6960"/>
    <w:rsid w:val="003D71F4"/>
    <w:rsid w:val="003E182A"/>
    <w:rsid w:val="003E215D"/>
    <w:rsid w:val="003E307A"/>
    <w:rsid w:val="003E38F9"/>
    <w:rsid w:val="003E4150"/>
    <w:rsid w:val="003E4A66"/>
    <w:rsid w:val="003E512B"/>
    <w:rsid w:val="003E5E3D"/>
    <w:rsid w:val="003E64DB"/>
    <w:rsid w:val="003E715F"/>
    <w:rsid w:val="003E72B8"/>
    <w:rsid w:val="003E7FD4"/>
    <w:rsid w:val="003F0F62"/>
    <w:rsid w:val="003F179C"/>
    <w:rsid w:val="003F6E36"/>
    <w:rsid w:val="003F7568"/>
    <w:rsid w:val="0040104C"/>
    <w:rsid w:val="004020F4"/>
    <w:rsid w:val="00405F7D"/>
    <w:rsid w:val="004076F5"/>
    <w:rsid w:val="00410D6A"/>
    <w:rsid w:val="0041468D"/>
    <w:rsid w:val="004160B5"/>
    <w:rsid w:val="00416D94"/>
    <w:rsid w:val="004248BC"/>
    <w:rsid w:val="00424A67"/>
    <w:rsid w:val="00424B57"/>
    <w:rsid w:val="00425593"/>
    <w:rsid w:val="0042680A"/>
    <w:rsid w:val="00427678"/>
    <w:rsid w:val="00434C38"/>
    <w:rsid w:val="00434D30"/>
    <w:rsid w:val="0043590B"/>
    <w:rsid w:val="00435C22"/>
    <w:rsid w:val="004378B1"/>
    <w:rsid w:val="00440AF9"/>
    <w:rsid w:val="004410D9"/>
    <w:rsid w:val="00441498"/>
    <w:rsid w:val="00441D38"/>
    <w:rsid w:val="004428ED"/>
    <w:rsid w:val="00442B52"/>
    <w:rsid w:val="0044310C"/>
    <w:rsid w:val="004441EE"/>
    <w:rsid w:val="00444523"/>
    <w:rsid w:val="00450B15"/>
    <w:rsid w:val="00450C63"/>
    <w:rsid w:val="00451607"/>
    <w:rsid w:val="00453EB3"/>
    <w:rsid w:val="00456345"/>
    <w:rsid w:val="00456F56"/>
    <w:rsid w:val="00457016"/>
    <w:rsid w:val="0046185C"/>
    <w:rsid w:val="004628B3"/>
    <w:rsid w:val="00462FEC"/>
    <w:rsid w:val="00465C30"/>
    <w:rsid w:val="00466A5A"/>
    <w:rsid w:val="00467347"/>
    <w:rsid w:val="004701EE"/>
    <w:rsid w:val="00472510"/>
    <w:rsid w:val="00472FBE"/>
    <w:rsid w:val="00474615"/>
    <w:rsid w:val="00480A8D"/>
    <w:rsid w:val="00480B48"/>
    <w:rsid w:val="00482443"/>
    <w:rsid w:val="00482D86"/>
    <w:rsid w:val="0048301C"/>
    <w:rsid w:val="00484690"/>
    <w:rsid w:val="00484924"/>
    <w:rsid w:val="00487DC7"/>
    <w:rsid w:val="00492062"/>
    <w:rsid w:val="0049444E"/>
    <w:rsid w:val="00494FEC"/>
    <w:rsid w:val="00496529"/>
    <w:rsid w:val="00496F5C"/>
    <w:rsid w:val="004A0D06"/>
    <w:rsid w:val="004A0F1F"/>
    <w:rsid w:val="004A1B66"/>
    <w:rsid w:val="004A2A2D"/>
    <w:rsid w:val="004A467E"/>
    <w:rsid w:val="004B0724"/>
    <w:rsid w:val="004B08F9"/>
    <w:rsid w:val="004B3474"/>
    <w:rsid w:val="004B4B49"/>
    <w:rsid w:val="004B691A"/>
    <w:rsid w:val="004B7B11"/>
    <w:rsid w:val="004B7F9C"/>
    <w:rsid w:val="004B7FCA"/>
    <w:rsid w:val="004C0252"/>
    <w:rsid w:val="004C25EF"/>
    <w:rsid w:val="004C3054"/>
    <w:rsid w:val="004C397B"/>
    <w:rsid w:val="004C479D"/>
    <w:rsid w:val="004C70E5"/>
    <w:rsid w:val="004D2659"/>
    <w:rsid w:val="004D277F"/>
    <w:rsid w:val="004D421B"/>
    <w:rsid w:val="004D7E71"/>
    <w:rsid w:val="004D7FF9"/>
    <w:rsid w:val="004E5A26"/>
    <w:rsid w:val="004E5D74"/>
    <w:rsid w:val="004E65C1"/>
    <w:rsid w:val="004E786E"/>
    <w:rsid w:val="004E7E82"/>
    <w:rsid w:val="004F04AA"/>
    <w:rsid w:val="004F05F1"/>
    <w:rsid w:val="004F0E71"/>
    <w:rsid w:val="004F1DC8"/>
    <w:rsid w:val="004F2D42"/>
    <w:rsid w:val="004F3CCA"/>
    <w:rsid w:val="004F4CFC"/>
    <w:rsid w:val="004F6FFF"/>
    <w:rsid w:val="004F793C"/>
    <w:rsid w:val="00500A92"/>
    <w:rsid w:val="005011AE"/>
    <w:rsid w:val="005023A1"/>
    <w:rsid w:val="00504924"/>
    <w:rsid w:val="00505021"/>
    <w:rsid w:val="005053BD"/>
    <w:rsid w:val="00505EF5"/>
    <w:rsid w:val="00506457"/>
    <w:rsid w:val="00507B4D"/>
    <w:rsid w:val="00507E13"/>
    <w:rsid w:val="005103E0"/>
    <w:rsid w:val="00510A1C"/>
    <w:rsid w:val="00513361"/>
    <w:rsid w:val="00513DD1"/>
    <w:rsid w:val="00516660"/>
    <w:rsid w:val="00517C58"/>
    <w:rsid w:val="005201D7"/>
    <w:rsid w:val="00521C85"/>
    <w:rsid w:val="0052206A"/>
    <w:rsid w:val="00522766"/>
    <w:rsid w:val="00523E58"/>
    <w:rsid w:val="00524331"/>
    <w:rsid w:val="00526744"/>
    <w:rsid w:val="00527240"/>
    <w:rsid w:val="00531B2F"/>
    <w:rsid w:val="00531DDC"/>
    <w:rsid w:val="005343F7"/>
    <w:rsid w:val="0053693B"/>
    <w:rsid w:val="00537202"/>
    <w:rsid w:val="00537248"/>
    <w:rsid w:val="005403B9"/>
    <w:rsid w:val="0054121F"/>
    <w:rsid w:val="0054263D"/>
    <w:rsid w:val="00544523"/>
    <w:rsid w:val="005463FE"/>
    <w:rsid w:val="0054701D"/>
    <w:rsid w:val="005535FC"/>
    <w:rsid w:val="005535FD"/>
    <w:rsid w:val="00561A10"/>
    <w:rsid w:val="00564051"/>
    <w:rsid w:val="00564507"/>
    <w:rsid w:val="00566267"/>
    <w:rsid w:val="005667CC"/>
    <w:rsid w:val="00567939"/>
    <w:rsid w:val="00567AFA"/>
    <w:rsid w:val="00570EE8"/>
    <w:rsid w:val="00573713"/>
    <w:rsid w:val="0057599D"/>
    <w:rsid w:val="00576A35"/>
    <w:rsid w:val="005777F3"/>
    <w:rsid w:val="0058097A"/>
    <w:rsid w:val="00581A9D"/>
    <w:rsid w:val="00585221"/>
    <w:rsid w:val="00587D7A"/>
    <w:rsid w:val="00590C5A"/>
    <w:rsid w:val="0059307A"/>
    <w:rsid w:val="00593127"/>
    <w:rsid w:val="00596060"/>
    <w:rsid w:val="0059650A"/>
    <w:rsid w:val="00596F29"/>
    <w:rsid w:val="005A018D"/>
    <w:rsid w:val="005A1223"/>
    <w:rsid w:val="005A206E"/>
    <w:rsid w:val="005A21E3"/>
    <w:rsid w:val="005A45F4"/>
    <w:rsid w:val="005A5DE5"/>
    <w:rsid w:val="005A68B4"/>
    <w:rsid w:val="005B7009"/>
    <w:rsid w:val="005B73C9"/>
    <w:rsid w:val="005C0076"/>
    <w:rsid w:val="005C1A26"/>
    <w:rsid w:val="005C4E6D"/>
    <w:rsid w:val="005C4F0E"/>
    <w:rsid w:val="005C5917"/>
    <w:rsid w:val="005C5C8A"/>
    <w:rsid w:val="005C5F79"/>
    <w:rsid w:val="005D1CD2"/>
    <w:rsid w:val="005D2C44"/>
    <w:rsid w:val="005D3689"/>
    <w:rsid w:val="005D3ACB"/>
    <w:rsid w:val="005D3B7B"/>
    <w:rsid w:val="005D4504"/>
    <w:rsid w:val="005D54D4"/>
    <w:rsid w:val="005D7993"/>
    <w:rsid w:val="005E0496"/>
    <w:rsid w:val="005E04DE"/>
    <w:rsid w:val="005E1876"/>
    <w:rsid w:val="005E1D00"/>
    <w:rsid w:val="005E2605"/>
    <w:rsid w:val="005E3515"/>
    <w:rsid w:val="005E42F5"/>
    <w:rsid w:val="005E4FD3"/>
    <w:rsid w:val="005E5035"/>
    <w:rsid w:val="005F10FC"/>
    <w:rsid w:val="005F3ADA"/>
    <w:rsid w:val="005F42BE"/>
    <w:rsid w:val="005F4ADC"/>
    <w:rsid w:val="005F4BB6"/>
    <w:rsid w:val="00600AD1"/>
    <w:rsid w:val="00601470"/>
    <w:rsid w:val="00601665"/>
    <w:rsid w:val="00603CE5"/>
    <w:rsid w:val="00603EB6"/>
    <w:rsid w:val="00605FDB"/>
    <w:rsid w:val="00606A0C"/>
    <w:rsid w:val="00610E38"/>
    <w:rsid w:val="00611085"/>
    <w:rsid w:val="006132A6"/>
    <w:rsid w:val="00613B6D"/>
    <w:rsid w:val="00614250"/>
    <w:rsid w:val="00615DE5"/>
    <w:rsid w:val="006162F6"/>
    <w:rsid w:val="00616A4D"/>
    <w:rsid w:val="006200E9"/>
    <w:rsid w:val="00620A97"/>
    <w:rsid w:val="00620E19"/>
    <w:rsid w:val="00620FB0"/>
    <w:rsid w:val="00622CCB"/>
    <w:rsid w:val="00623503"/>
    <w:rsid w:val="00631D4A"/>
    <w:rsid w:val="006349E2"/>
    <w:rsid w:val="00635192"/>
    <w:rsid w:val="00635FAB"/>
    <w:rsid w:val="00636C60"/>
    <w:rsid w:val="00640D3A"/>
    <w:rsid w:val="00641A3E"/>
    <w:rsid w:val="00641BDA"/>
    <w:rsid w:val="00641D87"/>
    <w:rsid w:val="006426D6"/>
    <w:rsid w:val="00644186"/>
    <w:rsid w:val="00644284"/>
    <w:rsid w:val="00644D7F"/>
    <w:rsid w:val="00645AD0"/>
    <w:rsid w:val="0064642E"/>
    <w:rsid w:val="00647416"/>
    <w:rsid w:val="00647895"/>
    <w:rsid w:val="0065094E"/>
    <w:rsid w:val="00650E2D"/>
    <w:rsid w:val="00651C03"/>
    <w:rsid w:val="00653C00"/>
    <w:rsid w:val="00654050"/>
    <w:rsid w:val="006545B5"/>
    <w:rsid w:val="00655D1F"/>
    <w:rsid w:val="00657C3F"/>
    <w:rsid w:val="00657ED6"/>
    <w:rsid w:val="00660442"/>
    <w:rsid w:val="00661B42"/>
    <w:rsid w:val="0066252D"/>
    <w:rsid w:val="00662D8D"/>
    <w:rsid w:val="00662EA6"/>
    <w:rsid w:val="00663C95"/>
    <w:rsid w:val="00663EAA"/>
    <w:rsid w:val="00664A7A"/>
    <w:rsid w:val="00665013"/>
    <w:rsid w:val="00665DFA"/>
    <w:rsid w:val="006670E1"/>
    <w:rsid w:val="00667C67"/>
    <w:rsid w:val="00670887"/>
    <w:rsid w:val="00670AA4"/>
    <w:rsid w:val="00671723"/>
    <w:rsid w:val="0067256A"/>
    <w:rsid w:val="00675C14"/>
    <w:rsid w:val="006769C8"/>
    <w:rsid w:val="006806FB"/>
    <w:rsid w:val="006815FC"/>
    <w:rsid w:val="00682ACC"/>
    <w:rsid w:val="00682C4B"/>
    <w:rsid w:val="006836A6"/>
    <w:rsid w:val="00684ED3"/>
    <w:rsid w:val="006851AD"/>
    <w:rsid w:val="0068529E"/>
    <w:rsid w:val="00685560"/>
    <w:rsid w:val="00690F94"/>
    <w:rsid w:val="0069196B"/>
    <w:rsid w:val="0069220C"/>
    <w:rsid w:val="00692560"/>
    <w:rsid w:val="00693485"/>
    <w:rsid w:val="006949A4"/>
    <w:rsid w:val="00694C7D"/>
    <w:rsid w:val="00696042"/>
    <w:rsid w:val="00696068"/>
    <w:rsid w:val="00696414"/>
    <w:rsid w:val="00696EF5"/>
    <w:rsid w:val="006A124C"/>
    <w:rsid w:val="006A15D7"/>
    <w:rsid w:val="006A1D7A"/>
    <w:rsid w:val="006A21C0"/>
    <w:rsid w:val="006A2AD6"/>
    <w:rsid w:val="006A4C1E"/>
    <w:rsid w:val="006A53C9"/>
    <w:rsid w:val="006A6BE2"/>
    <w:rsid w:val="006A742F"/>
    <w:rsid w:val="006B00D7"/>
    <w:rsid w:val="006B0B7F"/>
    <w:rsid w:val="006B16C3"/>
    <w:rsid w:val="006B293D"/>
    <w:rsid w:val="006B4991"/>
    <w:rsid w:val="006B4C0C"/>
    <w:rsid w:val="006B5825"/>
    <w:rsid w:val="006B639E"/>
    <w:rsid w:val="006B7612"/>
    <w:rsid w:val="006B7B15"/>
    <w:rsid w:val="006C0059"/>
    <w:rsid w:val="006C0711"/>
    <w:rsid w:val="006C12B0"/>
    <w:rsid w:val="006C262B"/>
    <w:rsid w:val="006C50F1"/>
    <w:rsid w:val="006C6C7F"/>
    <w:rsid w:val="006C6F35"/>
    <w:rsid w:val="006D0CC2"/>
    <w:rsid w:val="006D1797"/>
    <w:rsid w:val="006D1849"/>
    <w:rsid w:val="006D2F86"/>
    <w:rsid w:val="006D3A32"/>
    <w:rsid w:val="006D3C53"/>
    <w:rsid w:val="006D51ED"/>
    <w:rsid w:val="006D51F5"/>
    <w:rsid w:val="006D59EA"/>
    <w:rsid w:val="006D7AE0"/>
    <w:rsid w:val="006E1E60"/>
    <w:rsid w:val="006E3896"/>
    <w:rsid w:val="006E5614"/>
    <w:rsid w:val="006E743B"/>
    <w:rsid w:val="006F10E5"/>
    <w:rsid w:val="006F1881"/>
    <w:rsid w:val="006F24AD"/>
    <w:rsid w:val="006F26F8"/>
    <w:rsid w:val="006F2AE7"/>
    <w:rsid w:val="006F2B5A"/>
    <w:rsid w:val="006F3207"/>
    <w:rsid w:val="006F4176"/>
    <w:rsid w:val="006F5C1A"/>
    <w:rsid w:val="006F774C"/>
    <w:rsid w:val="006F78D9"/>
    <w:rsid w:val="006F79FE"/>
    <w:rsid w:val="006F7A69"/>
    <w:rsid w:val="00700DEC"/>
    <w:rsid w:val="0070133A"/>
    <w:rsid w:val="00701361"/>
    <w:rsid w:val="007014B0"/>
    <w:rsid w:val="00701D57"/>
    <w:rsid w:val="007021C3"/>
    <w:rsid w:val="00704055"/>
    <w:rsid w:val="007044F5"/>
    <w:rsid w:val="00704BA4"/>
    <w:rsid w:val="00704E7C"/>
    <w:rsid w:val="00706175"/>
    <w:rsid w:val="0070794D"/>
    <w:rsid w:val="007102CD"/>
    <w:rsid w:val="00711214"/>
    <w:rsid w:val="00711EEF"/>
    <w:rsid w:val="007125D2"/>
    <w:rsid w:val="007138C3"/>
    <w:rsid w:val="00713FD0"/>
    <w:rsid w:val="0071422A"/>
    <w:rsid w:val="00714DEC"/>
    <w:rsid w:val="0071502A"/>
    <w:rsid w:val="007164F2"/>
    <w:rsid w:val="00716A24"/>
    <w:rsid w:val="007205A3"/>
    <w:rsid w:val="00721BE0"/>
    <w:rsid w:val="0072498C"/>
    <w:rsid w:val="00725720"/>
    <w:rsid w:val="00726D03"/>
    <w:rsid w:val="00726FC8"/>
    <w:rsid w:val="00727735"/>
    <w:rsid w:val="00731128"/>
    <w:rsid w:val="007311C5"/>
    <w:rsid w:val="007313EA"/>
    <w:rsid w:val="00732FA2"/>
    <w:rsid w:val="007336F8"/>
    <w:rsid w:val="0073403C"/>
    <w:rsid w:val="0073574E"/>
    <w:rsid w:val="0073624F"/>
    <w:rsid w:val="007366D3"/>
    <w:rsid w:val="00740A9B"/>
    <w:rsid w:val="00741375"/>
    <w:rsid w:val="0074149D"/>
    <w:rsid w:val="007415F3"/>
    <w:rsid w:val="00741789"/>
    <w:rsid w:val="007419B7"/>
    <w:rsid w:val="00743D4C"/>
    <w:rsid w:val="00745A72"/>
    <w:rsid w:val="00746E7B"/>
    <w:rsid w:val="00747BB6"/>
    <w:rsid w:val="00751606"/>
    <w:rsid w:val="00751871"/>
    <w:rsid w:val="0075220E"/>
    <w:rsid w:val="00755F2C"/>
    <w:rsid w:val="007561CE"/>
    <w:rsid w:val="00756647"/>
    <w:rsid w:val="00757B54"/>
    <w:rsid w:val="00760BC1"/>
    <w:rsid w:val="0076120E"/>
    <w:rsid w:val="007622D3"/>
    <w:rsid w:val="00762909"/>
    <w:rsid w:val="007635B0"/>
    <w:rsid w:val="00763E54"/>
    <w:rsid w:val="00763F19"/>
    <w:rsid w:val="00766207"/>
    <w:rsid w:val="00766C48"/>
    <w:rsid w:val="00767369"/>
    <w:rsid w:val="00767E7D"/>
    <w:rsid w:val="00770747"/>
    <w:rsid w:val="007721C7"/>
    <w:rsid w:val="007725CD"/>
    <w:rsid w:val="007728C0"/>
    <w:rsid w:val="00774825"/>
    <w:rsid w:val="00774AD3"/>
    <w:rsid w:val="00782E76"/>
    <w:rsid w:val="0078345D"/>
    <w:rsid w:val="00783AA1"/>
    <w:rsid w:val="0078543B"/>
    <w:rsid w:val="0078732F"/>
    <w:rsid w:val="007875DF"/>
    <w:rsid w:val="00790721"/>
    <w:rsid w:val="00790AB7"/>
    <w:rsid w:val="007911CF"/>
    <w:rsid w:val="00791D60"/>
    <w:rsid w:val="00792630"/>
    <w:rsid w:val="0079326D"/>
    <w:rsid w:val="007934F8"/>
    <w:rsid w:val="0079462B"/>
    <w:rsid w:val="007950CE"/>
    <w:rsid w:val="00796102"/>
    <w:rsid w:val="00796BBE"/>
    <w:rsid w:val="007A0227"/>
    <w:rsid w:val="007A300E"/>
    <w:rsid w:val="007A7546"/>
    <w:rsid w:val="007B0B51"/>
    <w:rsid w:val="007B29C3"/>
    <w:rsid w:val="007B42E2"/>
    <w:rsid w:val="007B48AA"/>
    <w:rsid w:val="007B4B87"/>
    <w:rsid w:val="007B4E41"/>
    <w:rsid w:val="007B506F"/>
    <w:rsid w:val="007B62F2"/>
    <w:rsid w:val="007B6685"/>
    <w:rsid w:val="007B7AAE"/>
    <w:rsid w:val="007B7F90"/>
    <w:rsid w:val="007C0889"/>
    <w:rsid w:val="007C0C94"/>
    <w:rsid w:val="007C0EF2"/>
    <w:rsid w:val="007C1B62"/>
    <w:rsid w:val="007C2EEE"/>
    <w:rsid w:val="007C33EF"/>
    <w:rsid w:val="007C3E3C"/>
    <w:rsid w:val="007C41F7"/>
    <w:rsid w:val="007C68B9"/>
    <w:rsid w:val="007C6C48"/>
    <w:rsid w:val="007C75D0"/>
    <w:rsid w:val="007C77BC"/>
    <w:rsid w:val="007D1479"/>
    <w:rsid w:val="007D1D42"/>
    <w:rsid w:val="007D36F6"/>
    <w:rsid w:val="007D4F69"/>
    <w:rsid w:val="007D6EC6"/>
    <w:rsid w:val="007E16F9"/>
    <w:rsid w:val="007E345D"/>
    <w:rsid w:val="007E3CE9"/>
    <w:rsid w:val="007E3FC0"/>
    <w:rsid w:val="007E4C94"/>
    <w:rsid w:val="007E57E1"/>
    <w:rsid w:val="007E593D"/>
    <w:rsid w:val="007F058E"/>
    <w:rsid w:val="007F1F13"/>
    <w:rsid w:val="007F2D6B"/>
    <w:rsid w:val="007F30C4"/>
    <w:rsid w:val="0080263D"/>
    <w:rsid w:val="00802AEE"/>
    <w:rsid w:val="00802FCB"/>
    <w:rsid w:val="00803D0B"/>
    <w:rsid w:val="0080414D"/>
    <w:rsid w:val="0080559E"/>
    <w:rsid w:val="00805C65"/>
    <w:rsid w:val="00810228"/>
    <w:rsid w:val="0081125C"/>
    <w:rsid w:val="00811CC1"/>
    <w:rsid w:val="0081362C"/>
    <w:rsid w:val="00813AD6"/>
    <w:rsid w:val="00813B5F"/>
    <w:rsid w:val="008153FE"/>
    <w:rsid w:val="00815F96"/>
    <w:rsid w:val="008178DF"/>
    <w:rsid w:val="00817A82"/>
    <w:rsid w:val="00820CF5"/>
    <w:rsid w:val="00821428"/>
    <w:rsid w:val="00822947"/>
    <w:rsid w:val="00822BE0"/>
    <w:rsid w:val="00824910"/>
    <w:rsid w:val="00824DDA"/>
    <w:rsid w:val="00827A59"/>
    <w:rsid w:val="008302B0"/>
    <w:rsid w:val="008312ED"/>
    <w:rsid w:val="0083187B"/>
    <w:rsid w:val="008336F5"/>
    <w:rsid w:val="00840190"/>
    <w:rsid w:val="00842B17"/>
    <w:rsid w:val="0084302A"/>
    <w:rsid w:val="00843A3A"/>
    <w:rsid w:val="00843B54"/>
    <w:rsid w:val="00851D93"/>
    <w:rsid w:val="008527A7"/>
    <w:rsid w:val="00853516"/>
    <w:rsid w:val="008543B9"/>
    <w:rsid w:val="00854444"/>
    <w:rsid w:val="00854A7A"/>
    <w:rsid w:val="00856CEB"/>
    <w:rsid w:val="008602E8"/>
    <w:rsid w:val="008606D0"/>
    <w:rsid w:val="00860E40"/>
    <w:rsid w:val="00861050"/>
    <w:rsid w:val="00866182"/>
    <w:rsid w:val="00866DE3"/>
    <w:rsid w:val="00867E0D"/>
    <w:rsid w:val="0087018B"/>
    <w:rsid w:val="0087203D"/>
    <w:rsid w:val="00873DFC"/>
    <w:rsid w:val="00874541"/>
    <w:rsid w:val="008752F4"/>
    <w:rsid w:val="00875530"/>
    <w:rsid w:val="00877625"/>
    <w:rsid w:val="00880330"/>
    <w:rsid w:val="00880F5E"/>
    <w:rsid w:val="008814A5"/>
    <w:rsid w:val="00882DEB"/>
    <w:rsid w:val="008832C0"/>
    <w:rsid w:val="008847A5"/>
    <w:rsid w:val="0088551D"/>
    <w:rsid w:val="008903EC"/>
    <w:rsid w:val="00892B39"/>
    <w:rsid w:val="00893806"/>
    <w:rsid w:val="00894075"/>
    <w:rsid w:val="0089494A"/>
    <w:rsid w:val="008966B4"/>
    <w:rsid w:val="008A0DB8"/>
    <w:rsid w:val="008A299E"/>
    <w:rsid w:val="008A2ED7"/>
    <w:rsid w:val="008A308F"/>
    <w:rsid w:val="008A3E5C"/>
    <w:rsid w:val="008A60F7"/>
    <w:rsid w:val="008A6588"/>
    <w:rsid w:val="008B10BB"/>
    <w:rsid w:val="008B2EEF"/>
    <w:rsid w:val="008B3043"/>
    <w:rsid w:val="008B311B"/>
    <w:rsid w:val="008B3369"/>
    <w:rsid w:val="008B385A"/>
    <w:rsid w:val="008B4ABE"/>
    <w:rsid w:val="008C0B6C"/>
    <w:rsid w:val="008C0C74"/>
    <w:rsid w:val="008C2C69"/>
    <w:rsid w:val="008C3D60"/>
    <w:rsid w:val="008C3F2A"/>
    <w:rsid w:val="008C4FE2"/>
    <w:rsid w:val="008C7C4E"/>
    <w:rsid w:val="008C7DB3"/>
    <w:rsid w:val="008D0B2C"/>
    <w:rsid w:val="008D2110"/>
    <w:rsid w:val="008D69D0"/>
    <w:rsid w:val="008E01C3"/>
    <w:rsid w:val="008E0581"/>
    <w:rsid w:val="008E0833"/>
    <w:rsid w:val="008E08FD"/>
    <w:rsid w:val="008E1080"/>
    <w:rsid w:val="008E2C4C"/>
    <w:rsid w:val="008E2E49"/>
    <w:rsid w:val="008E3CC7"/>
    <w:rsid w:val="008E3D93"/>
    <w:rsid w:val="008E3FD9"/>
    <w:rsid w:val="008E6C2F"/>
    <w:rsid w:val="008E7037"/>
    <w:rsid w:val="008E782C"/>
    <w:rsid w:val="008F0F9C"/>
    <w:rsid w:val="008F1ACD"/>
    <w:rsid w:val="008F3998"/>
    <w:rsid w:val="008F4274"/>
    <w:rsid w:val="008F49C7"/>
    <w:rsid w:val="008F5906"/>
    <w:rsid w:val="008F6573"/>
    <w:rsid w:val="008F689D"/>
    <w:rsid w:val="008F6C8C"/>
    <w:rsid w:val="00900783"/>
    <w:rsid w:val="00900F08"/>
    <w:rsid w:val="00902972"/>
    <w:rsid w:val="009037AA"/>
    <w:rsid w:val="00903815"/>
    <w:rsid w:val="00906614"/>
    <w:rsid w:val="009069A7"/>
    <w:rsid w:val="00911912"/>
    <w:rsid w:val="00911B80"/>
    <w:rsid w:val="00912E9C"/>
    <w:rsid w:val="00913C52"/>
    <w:rsid w:val="009166E1"/>
    <w:rsid w:val="00917770"/>
    <w:rsid w:val="00921F52"/>
    <w:rsid w:val="00922792"/>
    <w:rsid w:val="00922A91"/>
    <w:rsid w:val="00923477"/>
    <w:rsid w:val="0092568F"/>
    <w:rsid w:val="00927622"/>
    <w:rsid w:val="0093147D"/>
    <w:rsid w:val="00932812"/>
    <w:rsid w:val="009337E3"/>
    <w:rsid w:val="0093479B"/>
    <w:rsid w:val="00935461"/>
    <w:rsid w:val="00935466"/>
    <w:rsid w:val="00942767"/>
    <w:rsid w:val="00943611"/>
    <w:rsid w:val="00944C28"/>
    <w:rsid w:val="00945296"/>
    <w:rsid w:val="009459E3"/>
    <w:rsid w:val="0094723B"/>
    <w:rsid w:val="00947C34"/>
    <w:rsid w:val="0095005A"/>
    <w:rsid w:val="0095016F"/>
    <w:rsid w:val="00950AB5"/>
    <w:rsid w:val="00950E34"/>
    <w:rsid w:val="00954542"/>
    <w:rsid w:val="00954FC0"/>
    <w:rsid w:val="0095508E"/>
    <w:rsid w:val="0095610E"/>
    <w:rsid w:val="00957261"/>
    <w:rsid w:val="00957690"/>
    <w:rsid w:val="00957E7C"/>
    <w:rsid w:val="009613F3"/>
    <w:rsid w:val="009636C2"/>
    <w:rsid w:val="0096439D"/>
    <w:rsid w:val="00964620"/>
    <w:rsid w:val="009651F3"/>
    <w:rsid w:val="009720C4"/>
    <w:rsid w:val="0097519D"/>
    <w:rsid w:val="00975B78"/>
    <w:rsid w:val="009775D2"/>
    <w:rsid w:val="0098028E"/>
    <w:rsid w:val="0098091C"/>
    <w:rsid w:val="0098267A"/>
    <w:rsid w:val="00982AB8"/>
    <w:rsid w:val="00983057"/>
    <w:rsid w:val="00983F2A"/>
    <w:rsid w:val="00985B25"/>
    <w:rsid w:val="00986FAF"/>
    <w:rsid w:val="0098780F"/>
    <w:rsid w:val="00991311"/>
    <w:rsid w:val="00991CD3"/>
    <w:rsid w:val="00992B9B"/>
    <w:rsid w:val="00994C98"/>
    <w:rsid w:val="009957C5"/>
    <w:rsid w:val="00995DDC"/>
    <w:rsid w:val="00996872"/>
    <w:rsid w:val="00997623"/>
    <w:rsid w:val="00997936"/>
    <w:rsid w:val="009A0041"/>
    <w:rsid w:val="009A0CB6"/>
    <w:rsid w:val="009A1812"/>
    <w:rsid w:val="009A258E"/>
    <w:rsid w:val="009A265B"/>
    <w:rsid w:val="009B365D"/>
    <w:rsid w:val="009B3903"/>
    <w:rsid w:val="009B452F"/>
    <w:rsid w:val="009B54CA"/>
    <w:rsid w:val="009B62DC"/>
    <w:rsid w:val="009B74BE"/>
    <w:rsid w:val="009B7842"/>
    <w:rsid w:val="009B7E8D"/>
    <w:rsid w:val="009C0631"/>
    <w:rsid w:val="009C08D7"/>
    <w:rsid w:val="009C0F7A"/>
    <w:rsid w:val="009C1114"/>
    <w:rsid w:val="009C167C"/>
    <w:rsid w:val="009C3D90"/>
    <w:rsid w:val="009C4F65"/>
    <w:rsid w:val="009C52FD"/>
    <w:rsid w:val="009C5653"/>
    <w:rsid w:val="009C5780"/>
    <w:rsid w:val="009D0E91"/>
    <w:rsid w:val="009D1626"/>
    <w:rsid w:val="009D1A33"/>
    <w:rsid w:val="009D1EC0"/>
    <w:rsid w:val="009D2AD9"/>
    <w:rsid w:val="009D37EF"/>
    <w:rsid w:val="009D4609"/>
    <w:rsid w:val="009E0195"/>
    <w:rsid w:val="009E2391"/>
    <w:rsid w:val="009E2C19"/>
    <w:rsid w:val="009E3B5E"/>
    <w:rsid w:val="009E4A0B"/>
    <w:rsid w:val="009E4C83"/>
    <w:rsid w:val="009E7D41"/>
    <w:rsid w:val="009F080D"/>
    <w:rsid w:val="009F19F9"/>
    <w:rsid w:val="009F3913"/>
    <w:rsid w:val="009F3B3D"/>
    <w:rsid w:val="009F5534"/>
    <w:rsid w:val="009F5DD2"/>
    <w:rsid w:val="009F5E84"/>
    <w:rsid w:val="009F617A"/>
    <w:rsid w:val="009F6B75"/>
    <w:rsid w:val="009F6CD7"/>
    <w:rsid w:val="00A01281"/>
    <w:rsid w:val="00A02312"/>
    <w:rsid w:val="00A02BAC"/>
    <w:rsid w:val="00A02CC0"/>
    <w:rsid w:val="00A0624A"/>
    <w:rsid w:val="00A0747F"/>
    <w:rsid w:val="00A10A7B"/>
    <w:rsid w:val="00A118BB"/>
    <w:rsid w:val="00A1324F"/>
    <w:rsid w:val="00A1556B"/>
    <w:rsid w:val="00A1626F"/>
    <w:rsid w:val="00A1673D"/>
    <w:rsid w:val="00A16CCF"/>
    <w:rsid w:val="00A23000"/>
    <w:rsid w:val="00A2356A"/>
    <w:rsid w:val="00A25962"/>
    <w:rsid w:val="00A26B8E"/>
    <w:rsid w:val="00A270A9"/>
    <w:rsid w:val="00A3207D"/>
    <w:rsid w:val="00A32577"/>
    <w:rsid w:val="00A331D9"/>
    <w:rsid w:val="00A33BE7"/>
    <w:rsid w:val="00A35848"/>
    <w:rsid w:val="00A358E2"/>
    <w:rsid w:val="00A36BF1"/>
    <w:rsid w:val="00A40838"/>
    <w:rsid w:val="00A40A50"/>
    <w:rsid w:val="00A42AD7"/>
    <w:rsid w:val="00A44010"/>
    <w:rsid w:val="00A476B8"/>
    <w:rsid w:val="00A506C8"/>
    <w:rsid w:val="00A52832"/>
    <w:rsid w:val="00A52CFB"/>
    <w:rsid w:val="00A540FD"/>
    <w:rsid w:val="00A54FA0"/>
    <w:rsid w:val="00A575DB"/>
    <w:rsid w:val="00A57910"/>
    <w:rsid w:val="00A6285B"/>
    <w:rsid w:val="00A639B1"/>
    <w:rsid w:val="00A63B6C"/>
    <w:rsid w:val="00A644D5"/>
    <w:rsid w:val="00A64B94"/>
    <w:rsid w:val="00A65174"/>
    <w:rsid w:val="00A6533F"/>
    <w:rsid w:val="00A65EBE"/>
    <w:rsid w:val="00A6724C"/>
    <w:rsid w:val="00A700CF"/>
    <w:rsid w:val="00A70AE6"/>
    <w:rsid w:val="00A71C04"/>
    <w:rsid w:val="00A738FB"/>
    <w:rsid w:val="00A76430"/>
    <w:rsid w:val="00A817A0"/>
    <w:rsid w:val="00A82047"/>
    <w:rsid w:val="00A85F3C"/>
    <w:rsid w:val="00A87D2A"/>
    <w:rsid w:val="00A9084E"/>
    <w:rsid w:val="00A912E3"/>
    <w:rsid w:val="00A92298"/>
    <w:rsid w:val="00A92D83"/>
    <w:rsid w:val="00A93FAA"/>
    <w:rsid w:val="00A94529"/>
    <w:rsid w:val="00A94CC4"/>
    <w:rsid w:val="00A9568F"/>
    <w:rsid w:val="00A96B21"/>
    <w:rsid w:val="00A96D23"/>
    <w:rsid w:val="00AA3095"/>
    <w:rsid w:val="00AA30D5"/>
    <w:rsid w:val="00AA62A0"/>
    <w:rsid w:val="00AA6A21"/>
    <w:rsid w:val="00AB169C"/>
    <w:rsid w:val="00AB357B"/>
    <w:rsid w:val="00AB49B2"/>
    <w:rsid w:val="00AB4A42"/>
    <w:rsid w:val="00AB797F"/>
    <w:rsid w:val="00AC0F34"/>
    <w:rsid w:val="00AC18CD"/>
    <w:rsid w:val="00AC4541"/>
    <w:rsid w:val="00AC6C68"/>
    <w:rsid w:val="00AD0BAC"/>
    <w:rsid w:val="00AD0FE8"/>
    <w:rsid w:val="00AD3A55"/>
    <w:rsid w:val="00AD5F9B"/>
    <w:rsid w:val="00AD5FBD"/>
    <w:rsid w:val="00AE023E"/>
    <w:rsid w:val="00AE1A95"/>
    <w:rsid w:val="00AE2B39"/>
    <w:rsid w:val="00AE30A6"/>
    <w:rsid w:val="00AE5BC3"/>
    <w:rsid w:val="00AE634B"/>
    <w:rsid w:val="00AE7DE1"/>
    <w:rsid w:val="00AF0428"/>
    <w:rsid w:val="00AF1893"/>
    <w:rsid w:val="00AF2899"/>
    <w:rsid w:val="00AF2B46"/>
    <w:rsid w:val="00AF4A6C"/>
    <w:rsid w:val="00AF4C8E"/>
    <w:rsid w:val="00AF6548"/>
    <w:rsid w:val="00B001EB"/>
    <w:rsid w:val="00B039A9"/>
    <w:rsid w:val="00B065FF"/>
    <w:rsid w:val="00B1012F"/>
    <w:rsid w:val="00B1016A"/>
    <w:rsid w:val="00B11C56"/>
    <w:rsid w:val="00B14153"/>
    <w:rsid w:val="00B21AE8"/>
    <w:rsid w:val="00B21E96"/>
    <w:rsid w:val="00B224E8"/>
    <w:rsid w:val="00B22932"/>
    <w:rsid w:val="00B23554"/>
    <w:rsid w:val="00B24AEF"/>
    <w:rsid w:val="00B25672"/>
    <w:rsid w:val="00B26089"/>
    <w:rsid w:val="00B3093F"/>
    <w:rsid w:val="00B310BC"/>
    <w:rsid w:val="00B311CB"/>
    <w:rsid w:val="00B3140D"/>
    <w:rsid w:val="00B31E6C"/>
    <w:rsid w:val="00B33080"/>
    <w:rsid w:val="00B3358F"/>
    <w:rsid w:val="00B33CA4"/>
    <w:rsid w:val="00B35317"/>
    <w:rsid w:val="00B35BCF"/>
    <w:rsid w:val="00B36EA9"/>
    <w:rsid w:val="00B37C92"/>
    <w:rsid w:val="00B409F6"/>
    <w:rsid w:val="00B41651"/>
    <w:rsid w:val="00B41B46"/>
    <w:rsid w:val="00B41EAE"/>
    <w:rsid w:val="00B4431E"/>
    <w:rsid w:val="00B46D79"/>
    <w:rsid w:val="00B470A8"/>
    <w:rsid w:val="00B47233"/>
    <w:rsid w:val="00B50296"/>
    <w:rsid w:val="00B51369"/>
    <w:rsid w:val="00B513A9"/>
    <w:rsid w:val="00B51883"/>
    <w:rsid w:val="00B52046"/>
    <w:rsid w:val="00B532A5"/>
    <w:rsid w:val="00B54A39"/>
    <w:rsid w:val="00B54FBE"/>
    <w:rsid w:val="00B576ED"/>
    <w:rsid w:val="00B57801"/>
    <w:rsid w:val="00B60599"/>
    <w:rsid w:val="00B61560"/>
    <w:rsid w:val="00B61ED3"/>
    <w:rsid w:val="00B6232B"/>
    <w:rsid w:val="00B62DDD"/>
    <w:rsid w:val="00B64ECC"/>
    <w:rsid w:val="00B66280"/>
    <w:rsid w:val="00B6642D"/>
    <w:rsid w:val="00B67BBA"/>
    <w:rsid w:val="00B70243"/>
    <w:rsid w:val="00B70924"/>
    <w:rsid w:val="00B70F30"/>
    <w:rsid w:val="00B724BA"/>
    <w:rsid w:val="00B72E3A"/>
    <w:rsid w:val="00B7699A"/>
    <w:rsid w:val="00B76F03"/>
    <w:rsid w:val="00B77A6A"/>
    <w:rsid w:val="00B80527"/>
    <w:rsid w:val="00B81E17"/>
    <w:rsid w:val="00B8361C"/>
    <w:rsid w:val="00B86725"/>
    <w:rsid w:val="00B90511"/>
    <w:rsid w:val="00B91291"/>
    <w:rsid w:val="00B91A8C"/>
    <w:rsid w:val="00B91EDE"/>
    <w:rsid w:val="00B93A5E"/>
    <w:rsid w:val="00B94487"/>
    <w:rsid w:val="00B94890"/>
    <w:rsid w:val="00B94BA0"/>
    <w:rsid w:val="00BA06BE"/>
    <w:rsid w:val="00BA1F13"/>
    <w:rsid w:val="00BA2200"/>
    <w:rsid w:val="00BA3C94"/>
    <w:rsid w:val="00BA5519"/>
    <w:rsid w:val="00BA687C"/>
    <w:rsid w:val="00BA76E3"/>
    <w:rsid w:val="00BB11D0"/>
    <w:rsid w:val="00BB1E50"/>
    <w:rsid w:val="00BB25AD"/>
    <w:rsid w:val="00BB3E8D"/>
    <w:rsid w:val="00BB5092"/>
    <w:rsid w:val="00BB5464"/>
    <w:rsid w:val="00BB5569"/>
    <w:rsid w:val="00BB6537"/>
    <w:rsid w:val="00BC205D"/>
    <w:rsid w:val="00BC4044"/>
    <w:rsid w:val="00BC6540"/>
    <w:rsid w:val="00BC79B0"/>
    <w:rsid w:val="00BD1D30"/>
    <w:rsid w:val="00BD1F2D"/>
    <w:rsid w:val="00BD3475"/>
    <w:rsid w:val="00BD4C3E"/>
    <w:rsid w:val="00BD5B45"/>
    <w:rsid w:val="00BE0254"/>
    <w:rsid w:val="00BE3091"/>
    <w:rsid w:val="00BE32AA"/>
    <w:rsid w:val="00BE5174"/>
    <w:rsid w:val="00BE5BE3"/>
    <w:rsid w:val="00BE6074"/>
    <w:rsid w:val="00BE642A"/>
    <w:rsid w:val="00BE75CD"/>
    <w:rsid w:val="00BE7800"/>
    <w:rsid w:val="00BF0772"/>
    <w:rsid w:val="00BF2F95"/>
    <w:rsid w:val="00BF46B0"/>
    <w:rsid w:val="00BF4731"/>
    <w:rsid w:val="00BF50D0"/>
    <w:rsid w:val="00BF528F"/>
    <w:rsid w:val="00BF6B88"/>
    <w:rsid w:val="00C02BA8"/>
    <w:rsid w:val="00C02EA4"/>
    <w:rsid w:val="00C04B0D"/>
    <w:rsid w:val="00C0793D"/>
    <w:rsid w:val="00C1179E"/>
    <w:rsid w:val="00C119A0"/>
    <w:rsid w:val="00C12178"/>
    <w:rsid w:val="00C1267A"/>
    <w:rsid w:val="00C12D0A"/>
    <w:rsid w:val="00C13D83"/>
    <w:rsid w:val="00C141BD"/>
    <w:rsid w:val="00C225C5"/>
    <w:rsid w:val="00C22D8E"/>
    <w:rsid w:val="00C22F75"/>
    <w:rsid w:val="00C2354A"/>
    <w:rsid w:val="00C23D41"/>
    <w:rsid w:val="00C24946"/>
    <w:rsid w:val="00C27112"/>
    <w:rsid w:val="00C27CBE"/>
    <w:rsid w:val="00C332BC"/>
    <w:rsid w:val="00C33588"/>
    <w:rsid w:val="00C33DF4"/>
    <w:rsid w:val="00C35DC7"/>
    <w:rsid w:val="00C36DE2"/>
    <w:rsid w:val="00C402F0"/>
    <w:rsid w:val="00C424BB"/>
    <w:rsid w:val="00C42EC3"/>
    <w:rsid w:val="00C4300F"/>
    <w:rsid w:val="00C432A1"/>
    <w:rsid w:val="00C43E40"/>
    <w:rsid w:val="00C4462B"/>
    <w:rsid w:val="00C44775"/>
    <w:rsid w:val="00C44D39"/>
    <w:rsid w:val="00C457CA"/>
    <w:rsid w:val="00C51674"/>
    <w:rsid w:val="00C5185A"/>
    <w:rsid w:val="00C53052"/>
    <w:rsid w:val="00C53B46"/>
    <w:rsid w:val="00C56768"/>
    <w:rsid w:val="00C57F03"/>
    <w:rsid w:val="00C60A2F"/>
    <w:rsid w:val="00C61E65"/>
    <w:rsid w:val="00C62BC2"/>
    <w:rsid w:val="00C65577"/>
    <w:rsid w:val="00C65DC0"/>
    <w:rsid w:val="00C67033"/>
    <w:rsid w:val="00C7092D"/>
    <w:rsid w:val="00C70F1F"/>
    <w:rsid w:val="00C7418E"/>
    <w:rsid w:val="00C75075"/>
    <w:rsid w:val="00C76D15"/>
    <w:rsid w:val="00C829CB"/>
    <w:rsid w:val="00C8475E"/>
    <w:rsid w:val="00C931B2"/>
    <w:rsid w:val="00C931E4"/>
    <w:rsid w:val="00C94C56"/>
    <w:rsid w:val="00CA026D"/>
    <w:rsid w:val="00CA04F8"/>
    <w:rsid w:val="00CA080E"/>
    <w:rsid w:val="00CA08F7"/>
    <w:rsid w:val="00CA3273"/>
    <w:rsid w:val="00CA3BE8"/>
    <w:rsid w:val="00CA4714"/>
    <w:rsid w:val="00CA52C7"/>
    <w:rsid w:val="00CA5E99"/>
    <w:rsid w:val="00CA62A0"/>
    <w:rsid w:val="00CA6595"/>
    <w:rsid w:val="00CA76B0"/>
    <w:rsid w:val="00CB1759"/>
    <w:rsid w:val="00CB2187"/>
    <w:rsid w:val="00CB5152"/>
    <w:rsid w:val="00CC0193"/>
    <w:rsid w:val="00CC20BE"/>
    <w:rsid w:val="00CC34C1"/>
    <w:rsid w:val="00CC4D37"/>
    <w:rsid w:val="00CC50B8"/>
    <w:rsid w:val="00CC585B"/>
    <w:rsid w:val="00CC6320"/>
    <w:rsid w:val="00CC71D6"/>
    <w:rsid w:val="00CD10AF"/>
    <w:rsid w:val="00CD16B3"/>
    <w:rsid w:val="00CD1862"/>
    <w:rsid w:val="00CD18C6"/>
    <w:rsid w:val="00CD31B0"/>
    <w:rsid w:val="00CD4A98"/>
    <w:rsid w:val="00CD66B6"/>
    <w:rsid w:val="00CD6A07"/>
    <w:rsid w:val="00CD6BC5"/>
    <w:rsid w:val="00CD770D"/>
    <w:rsid w:val="00CD7A90"/>
    <w:rsid w:val="00CE0220"/>
    <w:rsid w:val="00CE03CF"/>
    <w:rsid w:val="00CE0727"/>
    <w:rsid w:val="00CE2C28"/>
    <w:rsid w:val="00CE76FD"/>
    <w:rsid w:val="00CF2810"/>
    <w:rsid w:val="00CF2D28"/>
    <w:rsid w:val="00CF2D7D"/>
    <w:rsid w:val="00CF3550"/>
    <w:rsid w:val="00CF3E13"/>
    <w:rsid w:val="00CF70AB"/>
    <w:rsid w:val="00D05024"/>
    <w:rsid w:val="00D11591"/>
    <w:rsid w:val="00D142CA"/>
    <w:rsid w:val="00D14B5B"/>
    <w:rsid w:val="00D14CA8"/>
    <w:rsid w:val="00D15F1F"/>
    <w:rsid w:val="00D160B5"/>
    <w:rsid w:val="00D1670F"/>
    <w:rsid w:val="00D20BD0"/>
    <w:rsid w:val="00D22062"/>
    <w:rsid w:val="00D221A5"/>
    <w:rsid w:val="00D2281A"/>
    <w:rsid w:val="00D25077"/>
    <w:rsid w:val="00D2651C"/>
    <w:rsid w:val="00D300AF"/>
    <w:rsid w:val="00D3059B"/>
    <w:rsid w:val="00D30D98"/>
    <w:rsid w:val="00D31ED8"/>
    <w:rsid w:val="00D322A4"/>
    <w:rsid w:val="00D33ED0"/>
    <w:rsid w:val="00D34DFB"/>
    <w:rsid w:val="00D37DA7"/>
    <w:rsid w:val="00D405BF"/>
    <w:rsid w:val="00D4140A"/>
    <w:rsid w:val="00D44F8F"/>
    <w:rsid w:val="00D458B1"/>
    <w:rsid w:val="00D45CD2"/>
    <w:rsid w:val="00D45F43"/>
    <w:rsid w:val="00D4778A"/>
    <w:rsid w:val="00D50695"/>
    <w:rsid w:val="00D5201A"/>
    <w:rsid w:val="00D5207C"/>
    <w:rsid w:val="00D54863"/>
    <w:rsid w:val="00D55D7C"/>
    <w:rsid w:val="00D57731"/>
    <w:rsid w:val="00D57F85"/>
    <w:rsid w:val="00D60046"/>
    <w:rsid w:val="00D60BF6"/>
    <w:rsid w:val="00D619CC"/>
    <w:rsid w:val="00D61EC4"/>
    <w:rsid w:val="00D62D4F"/>
    <w:rsid w:val="00D62E76"/>
    <w:rsid w:val="00D63B94"/>
    <w:rsid w:val="00D641D7"/>
    <w:rsid w:val="00D65151"/>
    <w:rsid w:val="00D6640A"/>
    <w:rsid w:val="00D667B0"/>
    <w:rsid w:val="00D70CF0"/>
    <w:rsid w:val="00D71230"/>
    <w:rsid w:val="00D71780"/>
    <w:rsid w:val="00D71FFB"/>
    <w:rsid w:val="00D730C0"/>
    <w:rsid w:val="00D73C28"/>
    <w:rsid w:val="00D74474"/>
    <w:rsid w:val="00D74DB3"/>
    <w:rsid w:val="00D77F17"/>
    <w:rsid w:val="00D77F9C"/>
    <w:rsid w:val="00D81441"/>
    <w:rsid w:val="00D83A65"/>
    <w:rsid w:val="00D83F0B"/>
    <w:rsid w:val="00D84529"/>
    <w:rsid w:val="00D85690"/>
    <w:rsid w:val="00D878E0"/>
    <w:rsid w:val="00D910D1"/>
    <w:rsid w:val="00D91887"/>
    <w:rsid w:val="00D92BFD"/>
    <w:rsid w:val="00D92E2C"/>
    <w:rsid w:val="00D92FF5"/>
    <w:rsid w:val="00D931D8"/>
    <w:rsid w:val="00D94801"/>
    <w:rsid w:val="00D94806"/>
    <w:rsid w:val="00D95D34"/>
    <w:rsid w:val="00D960E3"/>
    <w:rsid w:val="00DA0748"/>
    <w:rsid w:val="00DA1ABD"/>
    <w:rsid w:val="00DA2A94"/>
    <w:rsid w:val="00DA3404"/>
    <w:rsid w:val="00DA39AF"/>
    <w:rsid w:val="00DA4B44"/>
    <w:rsid w:val="00DA5D96"/>
    <w:rsid w:val="00DB05A0"/>
    <w:rsid w:val="00DB19AE"/>
    <w:rsid w:val="00DB1D59"/>
    <w:rsid w:val="00DB2CA9"/>
    <w:rsid w:val="00DB2E18"/>
    <w:rsid w:val="00DB3F4D"/>
    <w:rsid w:val="00DB6049"/>
    <w:rsid w:val="00DB69E3"/>
    <w:rsid w:val="00DB777B"/>
    <w:rsid w:val="00DC024F"/>
    <w:rsid w:val="00DC1781"/>
    <w:rsid w:val="00DC20B2"/>
    <w:rsid w:val="00DC2C62"/>
    <w:rsid w:val="00DC5330"/>
    <w:rsid w:val="00DC6E17"/>
    <w:rsid w:val="00DC6EEF"/>
    <w:rsid w:val="00DD025F"/>
    <w:rsid w:val="00DD077C"/>
    <w:rsid w:val="00DD1F32"/>
    <w:rsid w:val="00DD2A42"/>
    <w:rsid w:val="00DD37B8"/>
    <w:rsid w:val="00DD7990"/>
    <w:rsid w:val="00DD7A71"/>
    <w:rsid w:val="00DD7BDE"/>
    <w:rsid w:val="00DE1B5D"/>
    <w:rsid w:val="00DE1DAE"/>
    <w:rsid w:val="00DE3162"/>
    <w:rsid w:val="00DE3671"/>
    <w:rsid w:val="00DE4B36"/>
    <w:rsid w:val="00DE5349"/>
    <w:rsid w:val="00DE585C"/>
    <w:rsid w:val="00DE5E33"/>
    <w:rsid w:val="00DE76A2"/>
    <w:rsid w:val="00DF0E15"/>
    <w:rsid w:val="00DF263E"/>
    <w:rsid w:val="00DF3D27"/>
    <w:rsid w:val="00E02311"/>
    <w:rsid w:val="00E0494B"/>
    <w:rsid w:val="00E065C3"/>
    <w:rsid w:val="00E07296"/>
    <w:rsid w:val="00E077E6"/>
    <w:rsid w:val="00E10246"/>
    <w:rsid w:val="00E11649"/>
    <w:rsid w:val="00E124D9"/>
    <w:rsid w:val="00E13CB0"/>
    <w:rsid w:val="00E1456D"/>
    <w:rsid w:val="00E153BB"/>
    <w:rsid w:val="00E1597C"/>
    <w:rsid w:val="00E17581"/>
    <w:rsid w:val="00E229B9"/>
    <w:rsid w:val="00E25980"/>
    <w:rsid w:val="00E2777F"/>
    <w:rsid w:val="00E30AF9"/>
    <w:rsid w:val="00E30F93"/>
    <w:rsid w:val="00E312D9"/>
    <w:rsid w:val="00E31D4B"/>
    <w:rsid w:val="00E33BEA"/>
    <w:rsid w:val="00E3492A"/>
    <w:rsid w:val="00E361CA"/>
    <w:rsid w:val="00E36280"/>
    <w:rsid w:val="00E37C60"/>
    <w:rsid w:val="00E37FBB"/>
    <w:rsid w:val="00E43E6A"/>
    <w:rsid w:val="00E459F2"/>
    <w:rsid w:val="00E46067"/>
    <w:rsid w:val="00E460FA"/>
    <w:rsid w:val="00E50265"/>
    <w:rsid w:val="00E526DF"/>
    <w:rsid w:val="00E5428A"/>
    <w:rsid w:val="00E5617A"/>
    <w:rsid w:val="00E57084"/>
    <w:rsid w:val="00E6015D"/>
    <w:rsid w:val="00E60A42"/>
    <w:rsid w:val="00E60E17"/>
    <w:rsid w:val="00E611D0"/>
    <w:rsid w:val="00E611FC"/>
    <w:rsid w:val="00E61213"/>
    <w:rsid w:val="00E613A1"/>
    <w:rsid w:val="00E62F08"/>
    <w:rsid w:val="00E62FA5"/>
    <w:rsid w:val="00E6697B"/>
    <w:rsid w:val="00E67215"/>
    <w:rsid w:val="00E71731"/>
    <w:rsid w:val="00E7345E"/>
    <w:rsid w:val="00E737A7"/>
    <w:rsid w:val="00E74126"/>
    <w:rsid w:val="00E77733"/>
    <w:rsid w:val="00E77B5F"/>
    <w:rsid w:val="00E81266"/>
    <w:rsid w:val="00E81E16"/>
    <w:rsid w:val="00E83417"/>
    <w:rsid w:val="00E83443"/>
    <w:rsid w:val="00E86525"/>
    <w:rsid w:val="00E879E7"/>
    <w:rsid w:val="00E87B1F"/>
    <w:rsid w:val="00E922A7"/>
    <w:rsid w:val="00E9433D"/>
    <w:rsid w:val="00E943FE"/>
    <w:rsid w:val="00E956EB"/>
    <w:rsid w:val="00E9635C"/>
    <w:rsid w:val="00EA16DD"/>
    <w:rsid w:val="00EA199D"/>
    <w:rsid w:val="00EA2683"/>
    <w:rsid w:val="00EA32D5"/>
    <w:rsid w:val="00EA3F36"/>
    <w:rsid w:val="00EA419B"/>
    <w:rsid w:val="00EA5AE6"/>
    <w:rsid w:val="00EA5F1F"/>
    <w:rsid w:val="00EA5FCE"/>
    <w:rsid w:val="00EA6437"/>
    <w:rsid w:val="00EA77FB"/>
    <w:rsid w:val="00EB0BAF"/>
    <w:rsid w:val="00EB0E55"/>
    <w:rsid w:val="00EB16C5"/>
    <w:rsid w:val="00EB1C56"/>
    <w:rsid w:val="00EB3BA7"/>
    <w:rsid w:val="00EB5952"/>
    <w:rsid w:val="00EB6463"/>
    <w:rsid w:val="00EB7BAF"/>
    <w:rsid w:val="00EC07ED"/>
    <w:rsid w:val="00EC32CA"/>
    <w:rsid w:val="00EC3434"/>
    <w:rsid w:val="00EC480F"/>
    <w:rsid w:val="00EC4E06"/>
    <w:rsid w:val="00EC6B77"/>
    <w:rsid w:val="00EC75C6"/>
    <w:rsid w:val="00ED0CC5"/>
    <w:rsid w:val="00ED1216"/>
    <w:rsid w:val="00ED1732"/>
    <w:rsid w:val="00ED3849"/>
    <w:rsid w:val="00ED3A69"/>
    <w:rsid w:val="00ED3FAC"/>
    <w:rsid w:val="00ED46DA"/>
    <w:rsid w:val="00ED4C7A"/>
    <w:rsid w:val="00ED5002"/>
    <w:rsid w:val="00ED6877"/>
    <w:rsid w:val="00ED7F68"/>
    <w:rsid w:val="00EE0420"/>
    <w:rsid w:val="00EE21C9"/>
    <w:rsid w:val="00EE34F7"/>
    <w:rsid w:val="00EE5B30"/>
    <w:rsid w:val="00EE6CB9"/>
    <w:rsid w:val="00EE7A46"/>
    <w:rsid w:val="00EE7DC2"/>
    <w:rsid w:val="00EE7E30"/>
    <w:rsid w:val="00EF2D42"/>
    <w:rsid w:val="00EF4787"/>
    <w:rsid w:val="00EF534A"/>
    <w:rsid w:val="00EF53EB"/>
    <w:rsid w:val="00EF5E6A"/>
    <w:rsid w:val="00F01B23"/>
    <w:rsid w:val="00F0245E"/>
    <w:rsid w:val="00F03B30"/>
    <w:rsid w:val="00F045BE"/>
    <w:rsid w:val="00F0487B"/>
    <w:rsid w:val="00F04FB6"/>
    <w:rsid w:val="00F0526F"/>
    <w:rsid w:val="00F057C8"/>
    <w:rsid w:val="00F101D3"/>
    <w:rsid w:val="00F103F6"/>
    <w:rsid w:val="00F109AD"/>
    <w:rsid w:val="00F11134"/>
    <w:rsid w:val="00F1786D"/>
    <w:rsid w:val="00F21261"/>
    <w:rsid w:val="00F22919"/>
    <w:rsid w:val="00F2507D"/>
    <w:rsid w:val="00F252DB"/>
    <w:rsid w:val="00F2541A"/>
    <w:rsid w:val="00F258FB"/>
    <w:rsid w:val="00F266AB"/>
    <w:rsid w:val="00F31689"/>
    <w:rsid w:val="00F34179"/>
    <w:rsid w:val="00F34422"/>
    <w:rsid w:val="00F36AF2"/>
    <w:rsid w:val="00F3755D"/>
    <w:rsid w:val="00F37FBE"/>
    <w:rsid w:val="00F42981"/>
    <w:rsid w:val="00F43005"/>
    <w:rsid w:val="00F474C2"/>
    <w:rsid w:val="00F514E8"/>
    <w:rsid w:val="00F529F3"/>
    <w:rsid w:val="00F52D9E"/>
    <w:rsid w:val="00F52E5C"/>
    <w:rsid w:val="00F532E5"/>
    <w:rsid w:val="00F53F9B"/>
    <w:rsid w:val="00F54458"/>
    <w:rsid w:val="00F55555"/>
    <w:rsid w:val="00F563FC"/>
    <w:rsid w:val="00F5768F"/>
    <w:rsid w:val="00F606D2"/>
    <w:rsid w:val="00F619EE"/>
    <w:rsid w:val="00F646CC"/>
    <w:rsid w:val="00F65EC3"/>
    <w:rsid w:val="00F66F71"/>
    <w:rsid w:val="00F67AF9"/>
    <w:rsid w:val="00F7093F"/>
    <w:rsid w:val="00F7233B"/>
    <w:rsid w:val="00F756A9"/>
    <w:rsid w:val="00F75F90"/>
    <w:rsid w:val="00F76CAC"/>
    <w:rsid w:val="00F814B2"/>
    <w:rsid w:val="00F81BDF"/>
    <w:rsid w:val="00F82020"/>
    <w:rsid w:val="00F82A04"/>
    <w:rsid w:val="00F8364E"/>
    <w:rsid w:val="00F901AC"/>
    <w:rsid w:val="00F93C45"/>
    <w:rsid w:val="00F95665"/>
    <w:rsid w:val="00F972D3"/>
    <w:rsid w:val="00FA13C2"/>
    <w:rsid w:val="00FA18C9"/>
    <w:rsid w:val="00FA1A0F"/>
    <w:rsid w:val="00FA28B0"/>
    <w:rsid w:val="00FA38EC"/>
    <w:rsid w:val="00FA3CF0"/>
    <w:rsid w:val="00FA43FA"/>
    <w:rsid w:val="00FA4C9F"/>
    <w:rsid w:val="00FA6DD0"/>
    <w:rsid w:val="00FA6E75"/>
    <w:rsid w:val="00FB0158"/>
    <w:rsid w:val="00FB1714"/>
    <w:rsid w:val="00FB3255"/>
    <w:rsid w:val="00FB46B8"/>
    <w:rsid w:val="00FB4CCA"/>
    <w:rsid w:val="00FB5222"/>
    <w:rsid w:val="00FB555C"/>
    <w:rsid w:val="00FB5A99"/>
    <w:rsid w:val="00FC2A60"/>
    <w:rsid w:val="00FC76E2"/>
    <w:rsid w:val="00FD02A3"/>
    <w:rsid w:val="00FD4AD9"/>
    <w:rsid w:val="00FD4FF7"/>
    <w:rsid w:val="00FD6F6A"/>
    <w:rsid w:val="00FE2FC3"/>
    <w:rsid w:val="00FE3653"/>
    <w:rsid w:val="00FE3747"/>
    <w:rsid w:val="00FE3AB8"/>
    <w:rsid w:val="00FE47AD"/>
    <w:rsid w:val="00FE536D"/>
    <w:rsid w:val="00FF1543"/>
    <w:rsid w:val="00FF5921"/>
    <w:rsid w:val="00FF6845"/>
    <w:rsid w:val="00FF701D"/>
    <w:rsid w:val="00FF7B9B"/>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7104141"/>
  <w15:chartTrackingRefBased/>
  <w15:docId w15:val="{C9300B4D-9E10-4360-8CA7-8C9E1D3F9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6B21"/>
    <w:pPr>
      <w:spacing w:after="0" w:line="240" w:lineRule="auto"/>
      <w:jc w:val="both"/>
    </w:pPr>
    <w:rPr>
      <w:rFonts w:ascii="Times New Roman" w:eastAsia="Times New Roman" w:hAnsi="Times New Roman" w:cs="Times New Roman"/>
      <w:kern w:val="0"/>
      <w:szCs w:val="24"/>
      <w14:ligatures w14:val="none"/>
    </w:rPr>
  </w:style>
  <w:style w:type="paragraph" w:styleId="Ttulo1">
    <w:name w:val="heading 1"/>
    <w:basedOn w:val="Normal"/>
    <w:next w:val="Normal"/>
    <w:link w:val="Ttulo1Car"/>
    <w:uiPriority w:val="9"/>
    <w:qFormat/>
    <w:rsid w:val="007C77BC"/>
    <w:pPr>
      <w:keepNext/>
      <w:keepLines/>
      <w:spacing w:before="240" w:after="120"/>
      <w:jc w:val="left"/>
      <w:outlineLvl w:val="0"/>
    </w:pPr>
    <w:rPr>
      <w:rFonts w:eastAsiaTheme="majorEastAsia" w:cstheme="majorBidi"/>
      <w:b/>
      <w:bCs/>
      <w:kern w:val="2"/>
      <w:sz w:val="28"/>
      <w:szCs w:val="32"/>
      <w14:ligatures w14:val="standardContextual"/>
    </w:rPr>
  </w:style>
  <w:style w:type="paragraph" w:styleId="Ttulo2">
    <w:name w:val="heading 2"/>
    <w:basedOn w:val="Normal"/>
    <w:next w:val="Normal"/>
    <w:link w:val="Ttulo2Car"/>
    <w:uiPriority w:val="9"/>
    <w:unhideWhenUsed/>
    <w:qFormat/>
    <w:rsid w:val="007C77BC"/>
    <w:pPr>
      <w:keepNext/>
      <w:keepLines/>
      <w:spacing w:before="120" w:after="120"/>
      <w:ind w:left="567" w:hanging="567"/>
      <w:outlineLvl w:val="1"/>
    </w:pPr>
    <w:rPr>
      <w:rFonts w:eastAsiaTheme="majorEastAsia" w:cstheme="majorBidi"/>
      <w:b/>
      <w:sz w:val="24"/>
      <w:szCs w:val="26"/>
    </w:rPr>
  </w:style>
  <w:style w:type="paragraph" w:styleId="Ttulo3">
    <w:name w:val="heading 3"/>
    <w:basedOn w:val="Normal"/>
    <w:next w:val="Normal"/>
    <w:link w:val="Ttulo3Car"/>
    <w:uiPriority w:val="9"/>
    <w:unhideWhenUsed/>
    <w:qFormat/>
    <w:rsid w:val="007C77BC"/>
    <w:pPr>
      <w:keepNext/>
      <w:keepLines/>
      <w:numPr>
        <w:numId w:val="8"/>
      </w:numPr>
      <w:spacing w:before="120" w:after="120"/>
      <w:ind w:left="567" w:hanging="578"/>
      <w:outlineLvl w:val="2"/>
    </w:pPr>
    <w:rPr>
      <w:rFonts w:eastAsiaTheme="majorEastAsia"/>
      <w:b/>
      <w:bCs/>
      <w:szCs w:val="22"/>
    </w:rPr>
  </w:style>
  <w:style w:type="paragraph" w:styleId="Ttulo4">
    <w:name w:val="heading 4"/>
    <w:basedOn w:val="Normal"/>
    <w:next w:val="Normal"/>
    <w:link w:val="Ttulo4Car"/>
    <w:uiPriority w:val="9"/>
    <w:unhideWhenUsed/>
    <w:qFormat/>
    <w:rsid w:val="00310608"/>
    <w:pPr>
      <w:keepNext/>
      <w:spacing w:before="120" w:after="120"/>
      <w:ind w:left="567" w:hanging="567"/>
      <w:outlineLvl w:val="3"/>
    </w:pPr>
    <w:rPr>
      <w:rFonts w:eastAsiaTheme="majorEastAsia"/>
      <w:b/>
      <w:bCs/>
    </w:rPr>
  </w:style>
  <w:style w:type="paragraph" w:styleId="Ttulo5">
    <w:name w:val="heading 5"/>
    <w:basedOn w:val="Normal"/>
    <w:next w:val="Normal"/>
    <w:link w:val="Ttulo5Car"/>
    <w:uiPriority w:val="9"/>
    <w:unhideWhenUsed/>
    <w:qFormat/>
    <w:rsid w:val="00310608"/>
    <w:pPr>
      <w:keepNext/>
      <w:spacing w:before="120" w:after="120"/>
      <w:ind w:left="567" w:hanging="567"/>
      <w:outlineLvl w:val="4"/>
    </w:pPr>
    <w:rPr>
      <w:rFonts w:eastAsiaTheme="majorEastAsia"/>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Item">
    <w:name w:val="Item"/>
    <w:basedOn w:val="Textoindependiente"/>
    <w:qFormat/>
    <w:rsid w:val="00657ED6"/>
    <w:pPr>
      <w:suppressLineNumbers/>
      <w:suppressAutoHyphens/>
      <w:spacing w:before="120" w:line="240" w:lineRule="auto"/>
    </w:pPr>
    <w:rPr>
      <w:rFonts w:ascii="Times New Roman" w:eastAsia="Times New Roman" w:hAnsi="Times New Roman" w:cs="Times New Roman"/>
      <w:b/>
      <w:iCs/>
      <w:snapToGrid w:val="0"/>
      <w:kern w:val="22"/>
      <w:sz w:val="24"/>
      <w14:ligatures w14:val="none"/>
    </w:rPr>
  </w:style>
  <w:style w:type="paragraph" w:styleId="Textoindependiente">
    <w:name w:val="Body Text"/>
    <w:basedOn w:val="Normal"/>
    <w:link w:val="TextoindependienteCar"/>
    <w:uiPriority w:val="99"/>
    <w:semiHidden/>
    <w:unhideWhenUsed/>
    <w:rsid w:val="00657ED6"/>
    <w:pPr>
      <w:spacing w:after="120" w:line="259" w:lineRule="auto"/>
      <w:jc w:val="left"/>
    </w:pPr>
    <w:rPr>
      <w:rFonts w:asciiTheme="minorHAnsi" w:eastAsiaTheme="minorHAnsi" w:hAnsiTheme="minorHAnsi" w:cstheme="minorBidi"/>
      <w:kern w:val="2"/>
      <w:szCs w:val="22"/>
      <w14:ligatures w14:val="standardContextual"/>
    </w:rPr>
  </w:style>
  <w:style w:type="character" w:customStyle="1" w:styleId="TextoindependienteCar">
    <w:name w:val="Texto independiente Car"/>
    <w:basedOn w:val="Fuentedeprrafopredeter"/>
    <w:link w:val="Textoindependiente"/>
    <w:uiPriority w:val="99"/>
    <w:semiHidden/>
    <w:rsid w:val="00657ED6"/>
  </w:style>
  <w:style w:type="paragraph" w:styleId="Ttulo">
    <w:name w:val="Title"/>
    <w:basedOn w:val="Normal"/>
    <w:next w:val="Normal"/>
    <w:link w:val="TtuloCar"/>
    <w:uiPriority w:val="10"/>
    <w:qFormat/>
    <w:rsid w:val="00ED3849"/>
    <w:pPr>
      <w:keepNext/>
      <w:spacing w:before="240" w:after="240"/>
      <w:ind w:left="567"/>
    </w:pPr>
    <w:rPr>
      <w:rFonts w:ascii="Times New Roman Bold" w:eastAsiaTheme="majorEastAsia" w:hAnsi="Times New Roman Bold"/>
      <w:b/>
      <w:bCs/>
      <w:spacing w:val="5"/>
      <w:kern w:val="28"/>
      <w:sz w:val="28"/>
      <w:szCs w:val="28"/>
      <w14:ligatures w14:val="standardContextual"/>
    </w:rPr>
  </w:style>
  <w:style w:type="character" w:customStyle="1" w:styleId="TtuloCar">
    <w:name w:val="Título Car"/>
    <w:basedOn w:val="Fuentedeprrafopredeter"/>
    <w:link w:val="Ttulo"/>
    <w:uiPriority w:val="10"/>
    <w:rsid w:val="00ED3849"/>
    <w:rPr>
      <w:rFonts w:ascii="Times New Roman Bold" w:eastAsiaTheme="majorEastAsia" w:hAnsi="Times New Roman Bold" w:cs="Times New Roman"/>
      <w:b/>
      <w:bCs/>
      <w:spacing w:val="5"/>
      <w:kern w:val="28"/>
      <w:sz w:val="28"/>
      <w:szCs w:val="28"/>
      <w:lang w:val="es-ES"/>
    </w:rPr>
  </w:style>
  <w:style w:type="character" w:customStyle="1" w:styleId="Ttulo1Car">
    <w:name w:val="Título 1 Car"/>
    <w:basedOn w:val="Fuentedeprrafopredeter"/>
    <w:link w:val="Ttulo1"/>
    <w:uiPriority w:val="9"/>
    <w:rsid w:val="007C77BC"/>
    <w:rPr>
      <w:rFonts w:ascii="Times New Roman" w:eastAsiaTheme="majorEastAsia" w:hAnsi="Times New Roman" w:cstheme="majorBidi"/>
      <w:b/>
      <w:bCs/>
      <w:sz w:val="28"/>
      <w:szCs w:val="32"/>
    </w:rPr>
  </w:style>
  <w:style w:type="paragraph" w:customStyle="1" w:styleId="Cornernotation">
    <w:name w:val="Corner notation"/>
    <w:basedOn w:val="Normal"/>
    <w:rsid w:val="00A96B21"/>
    <w:pPr>
      <w:ind w:left="170" w:right="3119" w:hanging="170"/>
      <w:jc w:val="left"/>
    </w:pPr>
    <w:rPr>
      <w:b/>
      <w:sz w:val="24"/>
    </w:rPr>
  </w:style>
  <w:style w:type="table" w:customStyle="1" w:styleId="TableGrid1">
    <w:name w:val="Table Grid1"/>
    <w:basedOn w:val="Tablanormal"/>
    <w:next w:val="Tablaconcuadrcula"/>
    <w:uiPriority w:val="59"/>
    <w:rsid w:val="00A96B21"/>
    <w:pPr>
      <w:spacing w:after="0" w:line="240" w:lineRule="auto"/>
    </w:pPr>
    <w:rPr>
      <w:rFonts w:eastAsiaTheme="minorEastAsia"/>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39"/>
    <w:rsid w:val="00A96B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enuedate">
    <w:name w:val="Venue&amp;date"/>
    <w:basedOn w:val="Cornernotation"/>
    <w:qFormat/>
    <w:rsid w:val="00A96B21"/>
    <w:rPr>
      <w:b w:val="0"/>
      <w:bCs/>
      <w:sz w:val="22"/>
      <w:szCs w:val="22"/>
    </w:rPr>
  </w:style>
  <w:style w:type="paragraph" w:styleId="Textonotapie">
    <w:name w:val="footnote text"/>
    <w:aliases w:val="Geneva 9,Font: Geneva 9,Boston 10,f,ft,Fotnotstext Char,ft Char,single space,footnote text,FOOTNOTES,ADB,single space1,footnote text1,FOOTNOTES1,fn1,ADB1,single space2,footnote text2,FOOTNOTES2,fn2,ADB2,single space3,footnote text3,fn3,fn"/>
    <w:basedOn w:val="Normal"/>
    <w:link w:val="TextonotapieCar"/>
    <w:unhideWhenUsed/>
    <w:qFormat/>
    <w:rsid w:val="00A96B21"/>
    <w:rPr>
      <w:sz w:val="20"/>
      <w:szCs w:val="20"/>
    </w:rPr>
  </w:style>
  <w:style w:type="character" w:customStyle="1" w:styleId="TextonotapieCar">
    <w:name w:val="Texto nota pie Car"/>
    <w:aliases w:val="Geneva 9 Car,Font: Geneva 9 Car,Boston 10 Car,f Car,ft Car,Fotnotstext Char Car,ft Char Car,single space Car,footnote text Car,FOOTNOTES Car,ADB Car,single space1 Car,footnote text1 Car,FOOTNOTES1 Car,fn1 Car,ADB1 Car,FOOTNOTES2 Car"/>
    <w:basedOn w:val="Fuentedeprrafopredeter"/>
    <w:link w:val="Textonotapie"/>
    <w:qFormat/>
    <w:rsid w:val="00A96B21"/>
    <w:rPr>
      <w:rFonts w:ascii="Times New Roman" w:eastAsia="Times New Roman" w:hAnsi="Times New Roman" w:cs="Times New Roman"/>
      <w:kern w:val="0"/>
      <w:sz w:val="20"/>
      <w:szCs w:val="20"/>
      <w:lang w:val="es-ES"/>
      <w14:ligatures w14:val="none"/>
    </w:rPr>
  </w:style>
  <w:style w:type="character" w:styleId="Refdenotaalpie">
    <w:name w:val="footnote reference"/>
    <w:aliases w:val="number,Footnote Reference Superscript,-E Fußnotenzeichen,(Diplomarbeit FZ),(Diplomarbeit FZ)1,(Diplomarbeit FZ)2,(Diplomarbeit FZ)3,(Diplomarbeit FZ)4,(Diplomarbeit FZ)5,(Diplomarbeit FZ)6,(Diplomarbeit FZ)7,(Diplomarbeit FZ)8"/>
    <w:basedOn w:val="Fuentedeprrafopredeter"/>
    <w:link w:val="BVIfnrChar"/>
    <w:unhideWhenUsed/>
    <w:qFormat/>
    <w:rsid w:val="00A96B21"/>
    <w:rPr>
      <w:vertAlign w:val="superscript"/>
    </w:rPr>
  </w:style>
  <w:style w:type="paragraph" w:customStyle="1" w:styleId="Footnote">
    <w:name w:val="Footnote"/>
    <w:basedOn w:val="Textonotapie"/>
    <w:qFormat/>
    <w:rsid w:val="00D71FFB"/>
    <w:rPr>
      <w:sz w:val="18"/>
      <w:szCs w:val="18"/>
    </w:rPr>
  </w:style>
  <w:style w:type="paragraph" w:customStyle="1" w:styleId="Cornernotation-Item">
    <w:name w:val="Corner notation - Item"/>
    <w:basedOn w:val="Venuedate"/>
    <w:qFormat/>
    <w:rsid w:val="00A96B21"/>
    <w:rPr>
      <w:b/>
    </w:rPr>
  </w:style>
  <w:style w:type="paragraph" w:styleId="Subttulo">
    <w:name w:val="Subtitle"/>
    <w:basedOn w:val="Normal"/>
    <w:next w:val="Normal"/>
    <w:link w:val="SubttuloCar"/>
    <w:uiPriority w:val="11"/>
    <w:qFormat/>
    <w:rsid w:val="00A96B21"/>
    <w:pPr>
      <w:numPr>
        <w:ilvl w:val="1"/>
      </w:numPr>
      <w:spacing w:after="160"/>
    </w:pPr>
    <w:rPr>
      <w:rFonts w:ascii="Times New Roman Bold" w:eastAsiaTheme="minorEastAsia" w:hAnsi="Times New Roman Bold" w:cstheme="minorBidi"/>
      <w:b/>
      <w:color w:val="5A5A5A" w:themeColor="text1" w:themeTint="A5"/>
      <w:szCs w:val="22"/>
    </w:rPr>
  </w:style>
  <w:style w:type="character" w:customStyle="1" w:styleId="SubttuloCar">
    <w:name w:val="Subtítulo Car"/>
    <w:basedOn w:val="Fuentedeprrafopredeter"/>
    <w:link w:val="Subttulo"/>
    <w:uiPriority w:val="11"/>
    <w:rsid w:val="00A96B21"/>
    <w:rPr>
      <w:rFonts w:ascii="Times New Roman Bold" w:eastAsiaTheme="minorEastAsia" w:hAnsi="Times New Roman Bold"/>
      <w:b/>
      <w:color w:val="5A5A5A" w:themeColor="text1" w:themeTint="A5"/>
      <w:kern w:val="0"/>
      <w:lang w:val="es-ES"/>
      <w14:ligatures w14:val="none"/>
    </w:rPr>
  </w:style>
  <w:style w:type="paragraph" w:customStyle="1" w:styleId="Para1">
    <w:name w:val="Para 1"/>
    <w:basedOn w:val="Normal"/>
    <w:qFormat/>
    <w:rsid w:val="00496F5C"/>
    <w:pPr>
      <w:numPr>
        <w:numId w:val="2"/>
      </w:numPr>
      <w:tabs>
        <w:tab w:val="left" w:pos="1134"/>
      </w:tabs>
      <w:spacing w:before="120" w:after="120"/>
    </w:pPr>
  </w:style>
  <w:style w:type="character" w:customStyle="1" w:styleId="Ttulo2Car">
    <w:name w:val="Título 2 Car"/>
    <w:basedOn w:val="Fuentedeprrafopredeter"/>
    <w:link w:val="Ttulo2"/>
    <w:uiPriority w:val="9"/>
    <w:rsid w:val="007C77BC"/>
    <w:rPr>
      <w:rFonts w:ascii="Times New Roman" w:eastAsiaTheme="majorEastAsia" w:hAnsi="Times New Roman" w:cstheme="majorBidi"/>
      <w:b/>
      <w:kern w:val="0"/>
      <w:sz w:val="24"/>
      <w:szCs w:val="26"/>
      <w:lang w:val="es-ES"/>
      <w14:ligatures w14:val="none"/>
    </w:rPr>
  </w:style>
  <w:style w:type="character" w:styleId="Textodelmarcadordeposicin">
    <w:name w:val="Placeholder Text"/>
    <w:basedOn w:val="Fuentedeprrafopredeter"/>
    <w:uiPriority w:val="99"/>
    <w:semiHidden/>
    <w:rsid w:val="00995DDC"/>
    <w:rPr>
      <w:color w:val="808080"/>
    </w:rPr>
  </w:style>
  <w:style w:type="paragraph" w:styleId="Encabezado">
    <w:name w:val="header"/>
    <w:basedOn w:val="Normal"/>
    <w:link w:val="EncabezadoCar"/>
    <w:unhideWhenUsed/>
    <w:rsid w:val="00D71FFB"/>
    <w:pPr>
      <w:tabs>
        <w:tab w:val="center" w:pos="4680"/>
        <w:tab w:val="right" w:pos="9360"/>
      </w:tabs>
    </w:pPr>
    <w:rPr>
      <w:caps/>
    </w:rPr>
  </w:style>
  <w:style w:type="character" w:customStyle="1" w:styleId="EncabezadoCar">
    <w:name w:val="Encabezado Car"/>
    <w:basedOn w:val="Fuentedeprrafopredeter"/>
    <w:link w:val="Encabezado"/>
    <w:rsid w:val="00D71FFB"/>
    <w:rPr>
      <w:rFonts w:ascii="Times New Roman" w:eastAsia="Times New Roman" w:hAnsi="Times New Roman" w:cs="Times New Roman"/>
      <w:caps/>
      <w:kern w:val="0"/>
      <w:szCs w:val="24"/>
      <w:lang w:val="es-ES"/>
      <w14:ligatures w14:val="none"/>
    </w:rPr>
  </w:style>
  <w:style w:type="paragraph" w:styleId="Piedepgina">
    <w:name w:val="footer"/>
    <w:basedOn w:val="Normal"/>
    <w:link w:val="PiedepginaCar"/>
    <w:uiPriority w:val="99"/>
    <w:unhideWhenUsed/>
    <w:rsid w:val="002B559C"/>
    <w:pPr>
      <w:tabs>
        <w:tab w:val="center" w:pos="4680"/>
        <w:tab w:val="right" w:pos="9360"/>
      </w:tabs>
    </w:pPr>
  </w:style>
  <w:style w:type="character" w:customStyle="1" w:styleId="PiedepginaCar">
    <w:name w:val="Pie de página Car"/>
    <w:basedOn w:val="Fuentedeprrafopredeter"/>
    <w:link w:val="Piedepgina"/>
    <w:uiPriority w:val="99"/>
    <w:rsid w:val="002B559C"/>
    <w:rPr>
      <w:rFonts w:ascii="Times New Roman" w:eastAsia="Times New Roman" w:hAnsi="Times New Roman" w:cs="Times New Roman"/>
      <w:kern w:val="0"/>
      <w:szCs w:val="24"/>
      <w:lang w:val="es-ES"/>
      <w14:ligatures w14:val="none"/>
    </w:rPr>
  </w:style>
  <w:style w:type="character" w:customStyle="1" w:styleId="Ttulo3Car">
    <w:name w:val="Título 3 Car"/>
    <w:basedOn w:val="Fuentedeprrafopredeter"/>
    <w:link w:val="Ttulo3"/>
    <w:uiPriority w:val="9"/>
    <w:rsid w:val="007C77BC"/>
    <w:rPr>
      <w:rFonts w:ascii="Times New Roman" w:eastAsiaTheme="majorEastAsia" w:hAnsi="Times New Roman" w:cs="Times New Roman"/>
      <w:b/>
      <w:bCs/>
      <w:kern w:val="0"/>
      <w:lang w:val="es-ES"/>
      <w14:ligatures w14:val="none"/>
    </w:rPr>
  </w:style>
  <w:style w:type="paragraph" w:customStyle="1" w:styleId="Para2">
    <w:name w:val="Para 2"/>
    <w:qFormat/>
    <w:rsid w:val="00537248"/>
    <w:pPr>
      <w:numPr>
        <w:numId w:val="14"/>
      </w:numPr>
      <w:tabs>
        <w:tab w:val="left" w:pos="1701"/>
      </w:tabs>
      <w:spacing w:before="120" w:after="120" w:line="240" w:lineRule="auto"/>
      <w:ind w:left="567" w:firstLine="567"/>
      <w:jc w:val="both"/>
    </w:pPr>
    <w:rPr>
      <w:rFonts w:ascii="Times New Roman" w:eastAsia="Times New Roman" w:hAnsi="Times New Roman" w:cs="Times New Roman"/>
      <w:kern w:val="0"/>
      <w:szCs w:val="24"/>
      <w14:ligatures w14:val="none"/>
    </w:rPr>
  </w:style>
  <w:style w:type="paragraph" w:customStyle="1" w:styleId="Annex">
    <w:name w:val="Annex"/>
    <w:basedOn w:val="Normal"/>
    <w:qFormat/>
    <w:rsid w:val="003C6F10"/>
    <w:rPr>
      <w:b/>
      <w:sz w:val="28"/>
    </w:rPr>
  </w:style>
  <w:style w:type="paragraph" w:customStyle="1" w:styleId="Para30">
    <w:name w:val="Para 3"/>
    <w:basedOn w:val="Normal"/>
    <w:qFormat/>
    <w:rsid w:val="002B00CA"/>
    <w:pPr>
      <w:numPr>
        <w:numId w:val="18"/>
      </w:numPr>
      <w:tabs>
        <w:tab w:val="left" w:pos="1701"/>
      </w:tabs>
      <w:spacing w:before="120" w:after="120"/>
      <w:ind w:left="1134" w:firstLine="0"/>
    </w:pPr>
  </w:style>
  <w:style w:type="character" w:customStyle="1" w:styleId="Ttulo4Car">
    <w:name w:val="Título 4 Car"/>
    <w:basedOn w:val="Fuentedeprrafopredeter"/>
    <w:link w:val="Ttulo4"/>
    <w:uiPriority w:val="9"/>
    <w:rsid w:val="00310608"/>
    <w:rPr>
      <w:rFonts w:ascii="Times New Roman" w:eastAsiaTheme="majorEastAsia" w:hAnsi="Times New Roman" w:cs="Times New Roman"/>
      <w:b/>
      <w:bCs/>
      <w:kern w:val="0"/>
      <w:szCs w:val="24"/>
      <w:lang w:val="es-ES"/>
      <w14:ligatures w14:val="none"/>
    </w:rPr>
  </w:style>
  <w:style w:type="character" w:customStyle="1" w:styleId="Ttulo5Car">
    <w:name w:val="Título 5 Car"/>
    <w:basedOn w:val="Fuentedeprrafopredeter"/>
    <w:link w:val="Ttulo5"/>
    <w:uiPriority w:val="9"/>
    <w:rsid w:val="00310608"/>
    <w:rPr>
      <w:rFonts w:ascii="Times New Roman" w:eastAsiaTheme="majorEastAsia" w:hAnsi="Times New Roman" w:cs="Times New Roman"/>
      <w:i/>
      <w:iCs/>
      <w:kern w:val="0"/>
      <w:szCs w:val="24"/>
      <w:lang w:val="es-ES"/>
      <w14:ligatures w14:val="none"/>
    </w:rPr>
  </w:style>
  <w:style w:type="character" w:styleId="Refdecomentario">
    <w:name w:val="annotation reference"/>
    <w:basedOn w:val="Fuentedeprrafopredeter"/>
    <w:uiPriority w:val="99"/>
    <w:semiHidden/>
    <w:unhideWhenUsed/>
    <w:rsid w:val="00CF70AB"/>
    <w:rPr>
      <w:sz w:val="16"/>
      <w:szCs w:val="16"/>
    </w:rPr>
  </w:style>
  <w:style w:type="paragraph" w:styleId="Textocomentario">
    <w:name w:val="annotation text"/>
    <w:basedOn w:val="Normal"/>
    <w:link w:val="TextocomentarioCar"/>
    <w:uiPriority w:val="99"/>
    <w:unhideWhenUsed/>
    <w:rsid w:val="00CF70AB"/>
    <w:rPr>
      <w:sz w:val="20"/>
      <w:szCs w:val="20"/>
    </w:rPr>
  </w:style>
  <w:style w:type="character" w:customStyle="1" w:styleId="TextocomentarioCar">
    <w:name w:val="Texto comentario Car"/>
    <w:basedOn w:val="Fuentedeprrafopredeter"/>
    <w:link w:val="Textocomentario"/>
    <w:uiPriority w:val="99"/>
    <w:rsid w:val="00CF70AB"/>
    <w:rPr>
      <w:rFonts w:ascii="Times New Roman" w:eastAsia="Times New Roman" w:hAnsi="Times New Roman" w:cs="Times New Roman"/>
      <w:kern w:val="0"/>
      <w:sz w:val="20"/>
      <w:szCs w:val="20"/>
      <w:lang w:val="es-ES"/>
      <w14:ligatures w14:val="none"/>
    </w:rPr>
  </w:style>
  <w:style w:type="paragraph" w:styleId="Asuntodelcomentario">
    <w:name w:val="annotation subject"/>
    <w:basedOn w:val="Textocomentario"/>
    <w:next w:val="Textocomentario"/>
    <w:link w:val="AsuntodelcomentarioCar"/>
    <w:uiPriority w:val="99"/>
    <w:semiHidden/>
    <w:unhideWhenUsed/>
    <w:rsid w:val="00CF70AB"/>
    <w:rPr>
      <w:b/>
      <w:bCs/>
    </w:rPr>
  </w:style>
  <w:style w:type="character" w:customStyle="1" w:styleId="AsuntodelcomentarioCar">
    <w:name w:val="Asunto del comentario Car"/>
    <w:basedOn w:val="TextocomentarioCar"/>
    <w:link w:val="Asuntodelcomentario"/>
    <w:uiPriority w:val="99"/>
    <w:semiHidden/>
    <w:rsid w:val="00CF70AB"/>
    <w:rPr>
      <w:rFonts w:ascii="Times New Roman" w:eastAsia="Times New Roman" w:hAnsi="Times New Roman" w:cs="Times New Roman"/>
      <w:b/>
      <w:bCs/>
      <w:kern w:val="0"/>
      <w:sz w:val="20"/>
      <w:szCs w:val="20"/>
      <w:lang w:val="es-ES"/>
      <w14:ligatures w14:val="none"/>
    </w:rPr>
  </w:style>
  <w:style w:type="paragraph" w:customStyle="1" w:styleId="Para3">
    <w:name w:val="Para3"/>
    <w:basedOn w:val="Normal"/>
    <w:rsid w:val="009720C4"/>
    <w:pPr>
      <w:numPr>
        <w:ilvl w:val="2"/>
        <w:numId w:val="21"/>
      </w:numPr>
      <w:tabs>
        <w:tab w:val="left" w:pos="1980"/>
      </w:tabs>
      <w:spacing w:before="80" w:after="80"/>
    </w:pPr>
    <w:rPr>
      <w:rFonts w:eastAsia="MS Mincho" w:cs="Angsana New"/>
      <w:szCs w:val="20"/>
    </w:rPr>
  </w:style>
  <w:style w:type="paragraph" w:styleId="Revisin">
    <w:name w:val="Revision"/>
    <w:hidden/>
    <w:uiPriority w:val="99"/>
    <w:semiHidden/>
    <w:rsid w:val="001426F9"/>
    <w:pPr>
      <w:spacing w:after="0" w:line="240" w:lineRule="auto"/>
    </w:pPr>
    <w:rPr>
      <w:rFonts w:ascii="Times New Roman" w:eastAsia="Times New Roman" w:hAnsi="Times New Roman" w:cs="Times New Roman"/>
      <w:kern w:val="0"/>
      <w:szCs w:val="24"/>
      <w14:ligatures w14:val="none"/>
    </w:rPr>
  </w:style>
  <w:style w:type="paragraph" w:styleId="Textodeglobo">
    <w:name w:val="Balloon Text"/>
    <w:basedOn w:val="Normal"/>
    <w:link w:val="TextodegloboCar"/>
    <w:uiPriority w:val="99"/>
    <w:semiHidden/>
    <w:unhideWhenUsed/>
    <w:rsid w:val="00E7173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71731"/>
    <w:rPr>
      <w:rFonts w:ascii="Segoe UI" w:eastAsia="Times New Roman" w:hAnsi="Segoe UI" w:cs="Segoe UI"/>
      <w:kern w:val="0"/>
      <w:sz w:val="18"/>
      <w:szCs w:val="18"/>
      <w:lang w:val="es-ES"/>
      <w14:ligatures w14:val="none"/>
    </w:rPr>
  </w:style>
  <w:style w:type="paragraph" w:styleId="Prrafodelista">
    <w:name w:val="List Paragraph"/>
    <w:aliases w:val="Unordered List,List Paragraph 2,Dot pt,F5 List Paragraph,List Paragraph1,No Spacing1,List Paragraph Char Char Char,Indicator Text,Numbered Para 1,List Paragraph12,Bullet Points,MAIN CONTENT,Bullet 1,Colorful List - Accent 11"/>
    <w:basedOn w:val="Normal"/>
    <w:link w:val="PrrafodelistaCar"/>
    <w:uiPriority w:val="34"/>
    <w:qFormat/>
    <w:rsid w:val="00165C77"/>
    <w:pPr>
      <w:ind w:left="720"/>
      <w:contextualSpacing/>
    </w:pPr>
  </w:style>
  <w:style w:type="character" w:styleId="Hipervnculo">
    <w:name w:val="Hyperlink"/>
    <w:basedOn w:val="Fuentedeprrafopredeter"/>
    <w:uiPriority w:val="99"/>
    <w:unhideWhenUsed/>
    <w:rsid w:val="00335DC6"/>
    <w:rPr>
      <w:color w:val="0563C1" w:themeColor="hyperlink"/>
      <w:u w:val="single"/>
    </w:rPr>
  </w:style>
  <w:style w:type="character" w:styleId="Mencinsinresolver">
    <w:name w:val="Unresolved Mention"/>
    <w:basedOn w:val="Fuentedeprrafopredeter"/>
    <w:uiPriority w:val="99"/>
    <w:semiHidden/>
    <w:unhideWhenUsed/>
    <w:rsid w:val="00335DC6"/>
    <w:rPr>
      <w:color w:val="605E5C"/>
      <w:shd w:val="clear" w:color="auto" w:fill="E1DFDD"/>
    </w:rPr>
  </w:style>
  <w:style w:type="character" w:styleId="Hipervnculovisitado">
    <w:name w:val="FollowedHyperlink"/>
    <w:basedOn w:val="Fuentedeprrafopredeter"/>
    <w:uiPriority w:val="99"/>
    <w:semiHidden/>
    <w:unhideWhenUsed/>
    <w:rsid w:val="0044310C"/>
    <w:rPr>
      <w:color w:val="954F72" w:themeColor="followedHyperlink"/>
      <w:u w:val="single"/>
    </w:rPr>
  </w:style>
  <w:style w:type="paragraph" w:customStyle="1" w:styleId="Para10">
    <w:name w:val="Para1"/>
    <w:basedOn w:val="Normal"/>
    <w:link w:val="Para1Char"/>
    <w:qFormat/>
    <w:rsid w:val="00817A82"/>
    <w:pPr>
      <w:spacing w:before="120" w:after="120"/>
    </w:pPr>
    <w:rPr>
      <w:snapToGrid w:val="0"/>
      <w:szCs w:val="18"/>
    </w:rPr>
  </w:style>
  <w:style w:type="character" w:customStyle="1" w:styleId="Para1Char">
    <w:name w:val="Para1 Char"/>
    <w:link w:val="Para10"/>
    <w:qFormat/>
    <w:locked/>
    <w:rsid w:val="00817A82"/>
    <w:rPr>
      <w:rFonts w:ascii="Times New Roman" w:eastAsia="Times New Roman" w:hAnsi="Times New Roman" w:cs="Times New Roman"/>
      <w:snapToGrid w:val="0"/>
      <w:kern w:val="0"/>
      <w:szCs w:val="18"/>
      <w:lang w:val="es-ES"/>
      <w14:ligatures w14:val="none"/>
    </w:rPr>
  </w:style>
  <w:style w:type="paragraph" w:customStyle="1" w:styleId="BVIfnrChar">
    <w:name w:val="BVI fnr Char"/>
    <w:aliases w:val="BVI fnr Car Car Char,BVI fnr Car Char,BVI fnr Car Car Car Car Char Char,BVI fnr Car Car Car Car Char,BVI fnr Car Car Car Char,BVI fnr Car Car Car Car Car Char, BVI fnr Car Car Char, BVI fnr Car Car Car Car Char Char, BVI fnr Car Char"/>
    <w:basedOn w:val="Normal"/>
    <w:link w:val="Refdenotaalpie"/>
    <w:qFormat/>
    <w:rsid w:val="00817A82"/>
    <w:pPr>
      <w:spacing w:after="160" w:line="240" w:lineRule="exact"/>
    </w:pPr>
    <w:rPr>
      <w:rFonts w:asciiTheme="minorHAnsi" w:eastAsiaTheme="minorHAnsi" w:hAnsiTheme="minorHAnsi" w:cstheme="minorBidi"/>
      <w:kern w:val="2"/>
      <w:szCs w:val="22"/>
      <w:vertAlign w:val="superscript"/>
      <w14:ligatures w14:val="standardContextual"/>
    </w:rPr>
  </w:style>
  <w:style w:type="character" w:customStyle="1" w:styleId="PrrafodelistaCar">
    <w:name w:val="Párrafo de lista Car"/>
    <w:aliases w:val="Unordered List Car,List Paragraph 2 Car,Dot pt Car,F5 List Paragraph Car,List Paragraph1 Car,No Spacing1 Car,List Paragraph Char Char Char Car,Indicator Text Car,Numbered Para 1 Car,List Paragraph12 Car,Bullet Points Car"/>
    <w:link w:val="Prrafodelista"/>
    <w:uiPriority w:val="34"/>
    <w:qFormat/>
    <w:locked/>
    <w:rsid w:val="00817A82"/>
    <w:rPr>
      <w:rFonts w:ascii="Times New Roman" w:eastAsia="Times New Roman" w:hAnsi="Times New Roman" w:cs="Times New Roman"/>
      <w:kern w:val="0"/>
      <w:szCs w:val="24"/>
      <w:lang w:val="es-ES"/>
      <w14:ligatures w14:val="none"/>
    </w:rPr>
  </w:style>
  <w:style w:type="paragraph" w:styleId="NormalWeb">
    <w:name w:val="Normal (Web)"/>
    <w:basedOn w:val="Normal"/>
    <w:uiPriority w:val="99"/>
    <w:unhideWhenUsed/>
    <w:rsid w:val="00FD02A3"/>
    <w:pPr>
      <w:spacing w:before="100" w:beforeAutospacing="1" w:after="100" w:afterAutospacing="1"/>
      <w:jc w:val="left"/>
    </w:pPr>
    <w:rPr>
      <w:sz w:val="24"/>
      <w:lang w:eastAsia="zh-CN"/>
    </w:rPr>
  </w:style>
  <w:style w:type="paragraph" w:customStyle="1" w:styleId="CBDTitle">
    <w:name w:val="CBD_Title"/>
    <w:basedOn w:val="Normal"/>
    <w:next w:val="Normal"/>
    <w:qFormat/>
    <w:rsid w:val="001D1F54"/>
    <w:pPr>
      <w:keepNext/>
      <w:keepLines/>
      <w:tabs>
        <w:tab w:val="left" w:pos="567"/>
        <w:tab w:val="left" w:pos="1134"/>
        <w:tab w:val="left" w:pos="1701"/>
        <w:tab w:val="left" w:pos="2268"/>
        <w:tab w:val="left" w:pos="2835"/>
        <w:tab w:val="left" w:pos="3402"/>
      </w:tabs>
      <w:spacing w:before="240" w:after="240"/>
      <w:ind w:left="567"/>
      <w:jc w:val="left"/>
    </w:pPr>
    <w:rPr>
      <w:rFonts w:eastAsia="SimSun"/>
      <w:b/>
      <w:sz w:val="28"/>
      <w:szCs w:val="22"/>
    </w:rPr>
  </w:style>
  <w:style w:type="paragraph" w:customStyle="1" w:styleId="AFCorNot12Bold">
    <w:name w:val="AF_CorNot12Bold"/>
    <w:basedOn w:val="Normal"/>
    <w:next w:val="Normal"/>
    <w:unhideWhenUsed/>
    <w:qFormat/>
    <w:rsid w:val="00BB5464"/>
    <w:pPr>
      <w:tabs>
        <w:tab w:val="left" w:pos="567"/>
        <w:tab w:val="left" w:pos="1134"/>
        <w:tab w:val="left" w:pos="1701"/>
        <w:tab w:val="left" w:pos="2268"/>
      </w:tabs>
      <w:jc w:val="left"/>
    </w:pPr>
    <w:rPr>
      <w:rFonts w:eastAsia="SimSun"/>
      <w:b/>
      <w:sz w:val="24"/>
      <w:szCs w:val="22"/>
    </w:rPr>
  </w:style>
  <w:style w:type="paragraph" w:customStyle="1" w:styleId="AFCorNotBold">
    <w:name w:val="AF_CorNotBold"/>
    <w:basedOn w:val="Normal"/>
    <w:next w:val="Normal"/>
    <w:unhideWhenUsed/>
    <w:qFormat/>
    <w:rsid w:val="00B51883"/>
    <w:pPr>
      <w:tabs>
        <w:tab w:val="left" w:pos="567"/>
        <w:tab w:val="left" w:pos="1134"/>
        <w:tab w:val="left" w:pos="1701"/>
        <w:tab w:val="left" w:pos="2268"/>
      </w:tabs>
    </w:pPr>
    <w:rPr>
      <w:rFonts w:eastAsia="SimSun"/>
      <w:b/>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8722128">
      <w:bodyDiv w:val="1"/>
      <w:marLeft w:val="0"/>
      <w:marRight w:val="0"/>
      <w:marTop w:val="0"/>
      <w:marBottom w:val="0"/>
      <w:divBdr>
        <w:top w:val="none" w:sz="0" w:space="0" w:color="auto"/>
        <w:left w:val="none" w:sz="0" w:space="0" w:color="auto"/>
        <w:bottom w:val="none" w:sz="0" w:space="0" w:color="auto"/>
        <w:right w:val="none" w:sz="0" w:space="0" w:color="auto"/>
      </w:divBdr>
    </w:div>
    <w:div w:id="308631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https://www.cbd.int/doc/decisions/cop-15/cop-15-dec-08-es.pdf"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cbd.int/doc/decisions/cop-15/cop-15-dec-11-es.pdf"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cbd.int/doc/decisions/cop-15/cop-15-dec-07-es.pdf" TargetMode="External"/><Relationship Id="rId20" Type="http://schemas.openxmlformats.org/officeDocument/2006/relationships/hyperlink" Target="https://www.cbd.int/doc/decisions/cop-15/cop-15-dec-15-es.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www.cbd.int/doc/decisions/cop-15/cop-15-dec-33-es.pdf"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cbd.int/doc/decisions/cop-15/cop-15-dec-12-es.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bd.int/doc/decisions/cop-15/cop-15-dec-04-es.pdf" TargetMode="External"/><Relationship Id="rId22"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eronique.lefebvre\Downloads\template-genera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58298e0-1b7e-4ebe-8695-94439b74f0d1">
      <Terms xmlns="http://schemas.microsoft.com/office/infopath/2007/PartnerControls"/>
    </lcf76f155ced4ddcb4097134ff3c332f>
    <TaxCatchAll xmlns="985ec44e-1bab-4c0b-9df0-6ba128686fc9"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9BFACF6D92CD24AA50050CE23F68F74" ma:contentTypeVersion="18" ma:contentTypeDescription="Create a new document." ma:contentTypeScope="" ma:versionID="56574a3974fe322614c82150facde942">
  <xsd:schema xmlns:xsd="http://www.w3.org/2001/XMLSchema" xmlns:xs="http://www.w3.org/2001/XMLSchema" xmlns:p="http://schemas.microsoft.com/office/2006/metadata/properties" xmlns:ns2="358298e0-1b7e-4ebe-8695-94439b74f0d1" xmlns:ns3="13ad741f-c0db-4e29-b5a6-03b4a1bc18ba" xmlns:ns4="985ec44e-1bab-4c0b-9df0-6ba128686fc9" targetNamespace="http://schemas.microsoft.com/office/2006/metadata/properties" ma:root="true" ma:fieldsID="9d58c0d7a53d6fd8413434503c3e2c13" ns2:_="" ns3:_="" ns4:_="">
    <xsd:import namespace="358298e0-1b7e-4ebe-8695-94439b74f0d1"/>
    <xsd:import namespace="13ad741f-c0db-4e29-b5a6-03b4a1bc18ba"/>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8298e0-1b7e-4ebe-8695-94439b74f0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3ad741f-c0db-4e29-b5a6-03b4a1bc18b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ba081904-bce8-4032-99c9-02153865886d}" ma:internalName="TaxCatchAll" ma:showField="CatchAllData" ma:web="13ad741f-c0db-4e29-b5a6-03b4a1bc18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56DACA2-8C2E-46A4-AF4A-CE8311E2CCEE}">
  <ds:schemaRefs>
    <ds:schemaRef ds:uri="http://schemas.microsoft.com/sharepoint/v3/contenttype/forms"/>
  </ds:schemaRefs>
</ds:datastoreItem>
</file>

<file path=customXml/itemProps2.xml><?xml version="1.0" encoding="utf-8"?>
<ds:datastoreItem xmlns:ds="http://schemas.openxmlformats.org/officeDocument/2006/customXml" ds:itemID="{B7CC7C0D-CECB-41F6-8EB8-290B0529DAF9}">
  <ds:schemaRefs>
    <ds:schemaRef ds:uri="http://schemas.openxmlformats.org/officeDocument/2006/bibliography"/>
  </ds:schemaRefs>
</ds:datastoreItem>
</file>

<file path=customXml/itemProps3.xml><?xml version="1.0" encoding="utf-8"?>
<ds:datastoreItem xmlns:ds="http://schemas.openxmlformats.org/officeDocument/2006/customXml" ds:itemID="{B9885E4C-C806-4F10-8420-89CF53128477}">
  <ds:schemaRefs>
    <ds:schemaRef ds:uri="http://schemas.microsoft.com/office/2006/metadata/properties"/>
    <ds:schemaRef ds:uri="http://schemas.microsoft.com/office/infopath/2007/PartnerControls"/>
    <ds:schemaRef ds:uri="358298e0-1b7e-4ebe-8695-94439b74f0d1"/>
    <ds:schemaRef ds:uri="985ec44e-1bab-4c0b-9df0-6ba128686fc9"/>
  </ds:schemaRefs>
</ds:datastoreItem>
</file>

<file path=customXml/itemProps4.xml><?xml version="1.0" encoding="utf-8"?>
<ds:datastoreItem xmlns:ds="http://schemas.openxmlformats.org/officeDocument/2006/customXml" ds:itemID="{9107C249-D583-4E88-B7AB-22330515F5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8298e0-1b7e-4ebe-8695-94439b74f0d1"/>
    <ds:schemaRef ds:uri="13ad741f-c0db-4e29-b5a6-03b4a1bc18ba"/>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template-general.dotm</Template>
  <TotalTime>8</TotalTime>
  <Pages>4</Pages>
  <Words>1600</Words>
  <Characters>8803</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Multi-year programme of work of the Conference of the Parties</vt:lpstr>
    </vt:vector>
  </TitlesOfParts>
  <Company/>
  <LinksUpToDate>false</LinksUpToDate>
  <CharactersWithSpaces>10383</CharactersWithSpaces>
  <SharedDoc>false</SharedDoc>
  <HLinks>
    <vt:vector size="102" baseType="variant">
      <vt:variant>
        <vt:i4>852042</vt:i4>
      </vt:variant>
      <vt:variant>
        <vt:i4>48</vt:i4>
      </vt:variant>
      <vt:variant>
        <vt:i4>0</vt:i4>
      </vt:variant>
      <vt:variant>
        <vt:i4>5</vt:i4>
      </vt:variant>
      <vt:variant>
        <vt:lpwstr>https://www.cbd.int/doc/decisions/cop-15/cop-15-dec-13-en.pdf</vt:lpwstr>
      </vt:variant>
      <vt:variant>
        <vt:lpwstr/>
      </vt:variant>
      <vt:variant>
        <vt:i4>393291</vt:i4>
      </vt:variant>
      <vt:variant>
        <vt:i4>45</vt:i4>
      </vt:variant>
      <vt:variant>
        <vt:i4>0</vt:i4>
      </vt:variant>
      <vt:variant>
        <vt:i4>5</vt:i4>
      </vt:variant>
      <vt:variant>
        <vt:lpwstr>https://www.cbd.int/doc/decisions/cop-15/cop-15-dec-08-en.pdf</vt:lpwstr>
      </vt:variant>
      <vt:variant>
        <vt:lpwstr/>
      </vt:variant>
      <vt:variant>
        <vt:i4>524363</vt:i4>
      </vt:variant>
      <vt:variant>
        <vt:i4>42</vt:i4>
      </vt:variant>
      <vt:variant>
        <vt:i4>0</vt:i4>
      </vt:variant>
      <vt:variant>
        <vt:i4>5</vt:i4>
      </vt:variant>
      <vt:variant>
        <vt:lpwstr>https://www.cbd.int/doc/decisions/cop-15/cop-15-dec-06-en.pdf</vt:lpwstr>
      </vt:variant>
      <vt:variant>
        <vt:lpwstr/>
      </vt:variant>
      <vt:variant>
        <vt:i4>720971</vt:i4>
      </vt:variant>
      <vt:variant>
        <vt:i4>39</vt:i4>
      </vt:variant>
      <vt:variant>
        <vt:i4>0</vt:i4>
      </vt:variant>
      <vt:variant>
        <vt:i4>5</vt:i4>
      </vt:variant>
      <vt:variant>
        <vt:lpwstr>https://www.cbd.int/doc/decisions/cop-15/cop-15-dec-05-en.pdf</vt:lpwstr>
      </vt:variant>
      <vt:variant>
        <vt:lpwstr/>
      </vt:variant>
      <vt:variant>
        <vt:i4>655435</vt:i4>
      </vt:variant>
      <vt:variant>
        <vt:i4>36</vt:i4>
      </vt:variant>
      <vt:variant>
        <vt:i4>0</vt:i4>
      </vt:variant>
      <vt:variant>
        <vt:i4>5</vt:i4>
      </vt:variant>
      <vt:variant>
        <vt:lpwstr>https://www.cbd.int/doc/decisions/cop-15/cop-15-dec-04-en.pdf</vt:lpwstr>
      </vt:variant>
      <vt:variant>
        <vt:lpwstr/>
      </vt:variant>
      <vt:variant>
        <vt:i4>7536689</vt:i4>
      </vt:variant>
      <vt:variant>
        <vt:i4>33</vt:i4>
      </vt:variant>
      <vt:variant>
        <vt:i4>0</vt:i4>
      </vt:variant>
      <vt:variant>
        <vt:i4>5</vt:i4>
      </vt:variant>
      <vt:variant>
        <vt:lpwstr>https://www.cbd.int/doc/decisions/np-mop-04/np-mop-04-dec-07-en.pdf</vt:lpwstr>
      </vt:variant>
      <vt:variant>
        <vt:lpwstr/>
      </vt:variant>
      <vt:variant>
        <vt:i4>524362</vt:i4>
      </vt:variant>
      <vt:variant>
        <vt:i4>30</vt:i4>
      </vt:variant>
      <vt:variant>
        <vt:i4>0</vt:i4>
      </vt:variant>
      <vt:variant>
        <vt:i4>5</vt:i4>
      </vt:variant>
      <vt:variant>
        <vt:lpwstr>https://www.cbd.int/doc/decisions/cop-15/cop-15-dec-16-en.pdf</vt:lpwstr>
      </vt:variant>
      <vt:variant>
        <vt:lpwstr/>
      </vt:variant>
      <vt:variant>
        <vt:i4>393291</vt:i4>
      </vt:variant>
      <vt:variant>
        <vt:i4>27</vt:i4>
      </vt:variant>
      <vt:variant>
        <vt:i4>0</vt:i4>
      </vt:variant>
      <vt:variant>
        <vt:i4>5</vt:i4>
      </vt:variant>
      <vt:variant>
        <vt:lpwstr>https://www.cbd.int/doc/decisions/cop-15/cop-15-dec-08-en.pdf</vt:lpwstr>
      </vt:variant>
      <vt:variant>
        <vt:lpwstr/>
      </vt:variant>
      <vt:variant>
        <vt:i4>8126513</vt:i4>
      </vt:variant>
      <vt:variant>
        <vt:i4>24</vt:i4>
      </vt:variant>
      <vt:variant>
        <vt:i4>0</vt:i4>
      </vt:variant>
      <vt:variant>
        <vt:i4>5</vt:i4>
      </vt:variant>
      <vt:variant>
        <vt:lpwstr>https://www.cbd.int/doc/decisions/np-mop-04/np-mop-04-dec-08-en.pdf</vt:lpwstr>
      </vt:variant>
      <vt:variant>
        <vt:lpwstr/>
      </vt:variant>
      <vt:variant>
        <vt:i4>8126513</vt:i4>
      </vt:variant>
      <vt:variant>
        <vt:i4>21</vt:i4>
      </vt:variant>
      <vt:variant>
        <vt:i4>0</vt:i4>
      </vt:variant>
      <vt:variant>
        <vt:i4>5</vt:i4>
      </vt:variant>
      <vt:variant>
        <vt:lpwstr>https://www.cbd.int/doc/decisions/cp-mop-10/cp-mop-10-dec-08-en.pdf</vt:lpwstr>
      </vt:variant>
      <vt:variant>
        <vt:lpwstr/>
      </vt:variant>
      <vt:variant>
        <vt:i4>720970</vt:i4>
      </vt:variant>
      <vt:variant>
        <vt:i4>18</vt:i4>
      </vt:variant>
      <vt:variant>
        <vt:i4>0</vt:i4>
      </vt:variant>
      <vt:variant>
        <vt:i4>5</vt:i4>
      </vt:variant>
      <vt:variant>
        <vt:lpwstr>https://www.cbd.int/doc/decisions/cop-15/cop-15-dec-15-en.pdf</vt:lpwstr>
      </vt:variant>
      <vt:variant>
        <vt:lpwstr/>
      </vt:variant>
      <vt:variant>
        <vt:i4>589899</vt:i4>
      </vt:variant>
      <vt:variant>
        <vt:i4>15</vt:i4>
      </vt:variant>
      <vt:variant>
        <vt:i4>0</vt:i4>
      </vt:variant>
      <vt:variant>
        <vt:i4>5</vt:i4>
      </vt:variant>
      <vt:variant>
        <vt:lpwstr>https://www.cbd.int/doc/decisions/cop-15/cop-15-dec-07-en.pdf</vt:lpwstr>
      </vt:variant>
      <vt:variant>
        <vt:lpwstr/>
      </vt:variant>
      <vt:variant>
        <vt:i4>524363</vt:i4>
      </vt:variant>
      <vt:variant>
        <vt:i4>12</vt:i4>
      </vt:variant>
      <vt:variant>
        <vt:i4>0</vt:i4>
      </vt:variant>
      <vt:variant>
        <vt:i4>5</vt:i4>
      </vt:variant>
      <vt:variant>
        <vt:lpwstr>https://www.cbd.int/doc/decisions/cop-15/cop-15-dec-06-en.pdf</vt:lpwstr>
      </vt:variant>
      <vt:variant>
        <vt:lpwstr/>
      </vt:variant>
      <vt:variant>
        <vt:i4>720971</vt:i4>
      </vt:variant>
      <vt:variant>
        <vt:i4>9</vt:i4>
      </vt:variant>
      <vt:variant>
        <vt:i4>0</vt:i4>
      </vt:variant>
      <vt:variant>
        <vt:i4>5</vt:i4>
      </vt:variant>
      <vt:variant>
        <vt:lpwstr>https://www.cbd.int/doc/decisions/cop-15/cop-15-dec-05-en.pdf</vt:lpwstr>
      </vt:variant>
      <vt:variant>
        <vt:lpwstr/>
      </vt:variant>
      <vt:variant>
        <vt:i4>524363</vt:i4>
      </vt:variant>
      <vt:variant>
        <vt:i4>6</vt:i4>
      </vt:variant>
      <vt:variant>
        <vt:i4>0</vt:i4>
      </vt:variant>
      <vt:variant>
        <vt:i4>5</vt:i4>
      </vt:variant>
      <vt:variant>
        <vt:lpwstr>https://www.cbd.int/doc/decisions/cop-15/cop-15-dec-06-en.pdf</vt:lpwstr>
      </vt:variant>
      <vt:variant>
        <vt:lpwstr/>
      </vt:variant>
      <vt:variant>
        <vt:i4>852047</vt:i4>
      </vt:variant>
      <vt:variant>
        <vt:i4>3</vt:i4>
      </vt:variant>
      <vt:variant>
        <vt:i4>0</vt:i4>
      </vt:variant>
      <vt:variant>
        <vt:i4>5</vt:i4>
      </vt:variant>
      <vt:variant>
        <vt:lpwstr>https://www.cbd.int/doc/decisions/cop-13/cop-13-dec-25-en.pdf</vt:lpwstr>
      </vt:variant>
      <vt:variant>
        <vt:lpwstr/>
      </vt:variant>
      <vt:variant>
        <vt:i4>983118</vt:i4>
      </vt:variant>
      <vt:variant>
        <vt:i4>0</vt:i4>
      </vt:variant>
      <vt:variant>
        <vt:i4>0</vt:i4>
      </vt:variant>
      <vt:variant>
        <vt:i4>5</vt:i4>
      </vt:variant>
      <vt:variant>
        <vt:lpwstr>https://www.cbd.int/doc/decisions/cop-12/cop-12-dec-26-en.pdf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Multi-year programme of work of the Conference of the Parties</dc:title>
  <dc:subject>CBD/SBI/REC/4/13</dc:subject>
  <dc:creator>Secretariat of the Convention on Biological Diversity</dc:creator>
  <cp:keywords>Subsidiary Body on Implementation</cp:keywords>
  <dc:description/>
  <cp:lastModifiedBy>Maria Troitino</cp:lastModifiedBy>
  <cp:revision>3</cp:revision>
  <cp:lastPrinted>2024-05-26T10:36:00Z</cp:lastPrinted>
  <dcterms:created xsi:type="dcterms:W3CDTF">2024-07-18T12:40:00Z</dcterms:created>
  <dcterms:modified xsi:type="dcterms:W3CDTF">2024-07-18T12:47:00Z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0x01010069BFACF6D92CD24AA50050CE23F68F74</vt:lpwstr>
  </property>
</Properties>
</file>