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A51800" w:rsidRPr="004C3718" w14:paraId="41019F85" w14:textId="77777777" w:rsidTr="00303F69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37453589" w14:textId="77777777" w:rsidR="00A51800" w:rsidRPr="004C3718" w:rsidRDefault="00A51800" w:rsidP="00303F69">
            <w:pPr>
              <w:rPr>
                <w:lang w:val="fr-CA"/>
              </w:rPr>
            </w:pPr>
            <w:r w:rsidRPr="004C3718">
              <w:rPr>
                <w:noProof/>
                <w:lang w:eastAsia="en-GB"/>
              </w:rPr>
              <w:drawing>
                <wp:inline distT="0" distB="0" distL="0" distR="0" wp14:anchorId="493A95EB" wp14:editId="679630EF">
                  <wp:extent cx="428625" cy="361950"/>
                  <wp:effectExtent l="0" t="0" r="9525" b="0"/>
                  <wp:docPr id="3" name="Picture 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7523A959" w14:textId="77777777" w:rsidR="00A51800" w:rsidRPr="004C3718" w:rsidRDefault="00A51800" w:rsidP="00303F69">
            <w:pPr>
              <w:rPr>
                <w:lang w:val="fr-CA"/>
              </w:rPr>
            </w:pPr>
            <w:r w:rsidRPr="004C3718">
              <w:rPr>
                <w:noProof/>
                <w:lang w:eastAsia="en-GB"/>
              </w:rPr>
              <w:drawing>
                <wp:inline distT="0" distB="0" distL="0" distR="0" wp14:anchorId="07E0357E" wp14:editId="3F70CF22">
                  <wp:extent cx="333375" cy="390525"/>
                  <wp:effectExtent l="0" t="0" r="9525" b="9525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7424C0B4" w14:textId="77777777" w:rsidR="00A51800" w:rsidRPr="004C3718" w:rsidRDefault="00A51800" w:rsidP="00303F69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4C3718">
              <w:rPr>
                <w:rFonts w:ascii="Arial" w:hAnsi="Arial" w:cs="Arial"/>
                <w:b/>
                <w:sz w:val="32"/>
                <w:szCs w:val="32"/>
                <w:lang w:val="fr-CA"/>
              </w:rPr>
              <w:t>CBD</w:t>
            </w:r>
          </w:p>
        </w:tc>
      </w:tr>
      <w:tr w:rsidR="00A51800" w:rsidRPr="004C3718" w14:paraId="19C8D907" w14:textId="77777777" w:rsidTr="00303F69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76517AF8" w14:textId="77777777" w:rsidR="00A51800" w:rsidRPr="004C3718" w:rsidRDefault="00A51800" w:rsidP="00303F69">
            <w:pPr>
              <w:rPr>
                <w:lang w:val="fr-CA"/>
              </w:rPr>
            </w:pPr>
            <w:r w:rsidRPr="004C3718">
              <w:rPr>
                <w:bCs/>
                <w:noProof/>
                <w:szCs w:val="22"/>
                <w:lang w:eastAsia="en-GB"/>
              </w:rPr>
              <w:drawing>
                <wp:inline distT="0" distB="0" distL="0" distR="0" wp14:anchorId="65C71335" wp14:editId="2138B983">
                  <wp:extent cx="2855595" cy="1080135"/>
                  <wp:effectExtent l="19050" t="0" r="1905" b="0"/>
                  <wp:docPr id="4" name="Picture 1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2EE76B24" w14:textId="77777777" w:rsidR="00A51800" w:rsidRPr="00CF2044" w:rsidRDefault="00A51800" w:rsidP="00303F69">
            <w:pPr>
              <w:ind w:left="1215"/>
              <w:rPr>
                <w:noProof/>
                <w:szCs w:val="22"/>
                <w:lang w:val="fr-FR"/>
              </w:rPr>
            </w:pPr>
            <w:r w:rsidRPr="00CF2044">
              <w:rPr>
                <w:noProof/>
                <w:szCs w:val="22"/>
                <w:lang w:val="fr-FR"/>
              </w:rPr>
              <w:t>Distr.</w:t>
            </w:r>
          </w:p>
          <w:p w14:paraId="7F05FF0B" w14:textId="78CAA0CB" w:rsidR="00A51800" w:rsidRPr="004C3718" w:rsidRDefault="00A377DE" w:rsidP="00303F69">
            <w:pPr>
              <w:ind w:left="1215"/>
              <w:rPr>
                <w:szCs w:val="22"/>
                <w:lang w:val="fr-CA"/>
              </w:rPr>
            </w:pPr>
            <w:r>
              <w:rPr>
                <w:caps/>
                <w:szCs w:val="22"/>
                <w:lang w:val="fr-CA"/>
              </w:rPr>
              <w:t>GÉNÉRALE</w:t>
            </w:r>
          </w:p>
          <w:p w14:paraId="24164754" w14:textId="77777777" w:rsidR="00A51800" w:rsidRPr="004C3718" w:rsidRDefault="00A51800" w:rsidP="00303F69">
            <w:pPr>
              <w:ind w:left="1215"/>
              <w:rPr>
                <w:szCs w:val="22"/>
                <w:lang w:val="fr-CA"/>
              </w:rPr>
            </w:pPr>
          </w:p>
          <w:p w14:paraId="05BB1E96" w14:textId="5257BCA5" w:rsidR="00A51800" w:rsidRPr="004C3718" w:rsidRDefault="00A377DE" w:rsidP="00303F69">
            <w:pPr>
              <w:ind w:left="1215"/>
              <w:rPr>
                <w:szCs w:val="22"/>
                <w:lang w:val="fr-CA"/>
              </w:rPr>
            </w:pPr>
            <w:r>
              <w:rPr>
                <w:lang w:val="fr-CA"/>
              </w:rPr>
              <w:t>CBD/SBI/REC/2/18</w:t>
            </w:r>
          </w:p>
          <w:p w14:paraId="76911563" w14:textId="43F70CE5" w:rsidR="00A51800" w:rsidRPr="004C3718" w:rsidRDefault="00A51800" w:rsidP="00303F69">
            <w:pPr>
              <w:ind w:left="1215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12 juillet </w:t>
            </w:r>
            <w:r w:rsidRPr="004C3718">
              <w:rPr>
                <w:szCs w:val="22"/>
                <w:lang w:val="fr-CA"/>
              </w:rPr>
              <w:t>2018</w:t>
            </w:r>
          </w:p>
          <w:p w14:paraId="36EE804F" w14:textId="77777777" w:rsidR="00A51800" w:rsidRPr="004C3718" w:rsidRDefault="00A51800" w:rsidP="00303F69">
            <w:pPr>
              <w:ind w:left="1215"/>
              <w:rPr>
                <w:szCs w:val="22"/>
                <w:lang w:val="fr-CA"/>
              </w:rPr>
            </w:pPr>
          </w:p>
          <w:p w14:paraId="76BD2E96" w14:textId="77777777" w:rsidR="00A51800" w:rsidRPr="00E878A5" w:rsidRDefault="00A51800" w:rsidP="006F6A08">
            <w:pPr>
              <w:ind w:left="1215"/>
              <w:rPr>
                <w:snapToGrid w:val="0"/>
                <w:kern w:val="22"/>
                <w:szCs w:val="22"/>
                <w:lang w:val="fr-CA"/>
              </w:rPr>
            </w:pPr>
            <w:r w:rsidRPr="006F6A08">
              <w:rPr>
                <w:szCs w:val="22"/>
                <w:lang w:val="fr-CA"/>
              </w:rPr>
              <w:t>FRAN</w:t>
            </w:r>
            <w:bookmarkStart w:id="0" w:name="_GoBack"/>
            <w:bookmarkEnd w:id="0"/>
            <w:r w:rsidRPr="006F6A08">
              <w:rPr>
                <w:szCs w:val="22"/>
                <w:lang w:val="fr-CA"/>
              </w:rPr>
              <w:t>ÇAIS</w:t>
            </w:r>
          </w:p>
          <w:p w14:paraId="52B1332B" w14:textId="77777777" w:rsidR="00A51800" w:rsidRPr="004C3718" w:rsidRDefault="00A51800" w:rsidP="00303F69">
            <w:pPr>
              <w:ind w:left="1215"/>
              <w:rPr>
                <w:szCs w:val="22"/>
                <w:lang w:val="fr-CA"/>
              </w:rPr>
            </w:pPr>
            <w:r>
              <w:rPr>
                <w:snapToGrid w:val="0"/>
                <w:kern w:val="22"/>
                <w:szCs w:val="22"/>
                <w:lang w:val="fr-CA"/>
              </w:rPr>
              <w:t xml:space="preserve">ORIGINAL : </w:t>
            </w:r>
            <w:r w:rsidRPr="00E878A5">
              <w:rPr>
                <w:snapToGrid w:val="0"/>
                <w:kern w:val="22"/>
                <w:szCs w:val="22"/>
                <w:lang w:val="fr-CA"/>
              </w:rPr>
              <w:t>ANGLAIS</w:t>
            </w:r>
          </w:p>
          <w:p w14:paraId="7304CA11" w14:textId="77777777" w:rsidR="00A51800" w:rsidRPr="004C3718" w:rsidRDefault="00A51800" w:rsidP="00303F69">
            <w:pPr>
              <w:rPr>
                <w:lang w:val="fr-CA"/>
              </w:rPr>
            </w:pPr>
          </w:p>
        </w:tc>
      </w:tr>
    </w:tbl>
    <w:p w14:paraId="2C395F61" w14:textId="77777777" w:rsidR="0042731B" w:rsidRPr="008D22A6" w:rsidRDefault="0042731B" w:rsidP="0042731B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right="4590" w:firstLine="0"/>
        <w:jc w:val="left"/>
        <w:rPr>
          <w:kern w:val="22"/>
          <w:lang w:val="fr-CA"/>
        </w:rPr>
      </w:pPr>
      <w:r w:rsidRPr="008D22A6">
        <w:rPr>
          <w:kern w:val="22"/>
          <w:lang w:val="fr-CA"/>
        </w:rPr>
        <w:t>organe subsidiaire chargÉ de l</w:t>
      </w:r>
      <w:r w:rsidR="00A83B56">
        <w:rPr>
          <w:kern w:val="22"/>
          <w:lang w:val="fr-CA"/>
        </w:rPr>
        <w:t>’</w:t>
      </w:r>
      <w:r w:rsidRPr="008D22A6">
        <w:rPr>
          <w:kern w:val="22"/>
          <w:lang w:val="fr-CA"/>
        </w:rPr>
        <w:t>application</w:t>
      </w:r>
    </w:p>
    <w:p w14:paraId="300CCC3A" w14:textId="77777777" w:rsidR="0042731B" w:rsidRPr="008D22A6" w:rsidRDefault="0042731B" w:rsidP="0042731B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84" w:hanging="284"/>
        <w:jc w:val="left"/>
        <w:rPr>
          <w:snapToGrid w:val="0"/>
          <w:kern w:val="22"/>
          <w:szCs w:val="22"/>
          <w:lang w:val="fr-CA" w:eastAsia="nb-NO"/>
        </w:rPr>
      </w:pPr>
      <w:r w:rsidRPr="008D22A6">
        <w:rPr>
          <w:snapToGrid w:val="0"/>
          <w:kern w:val="22"/>
          <w:szCs w:val="22"/>
          <w:lang w:val="fr-CA" w:eastAsia="nb-NO"/>
        </w:rPr>
        <w:t>Deuxième réunion</w:t>
      </w:r>
    </w:p>
    <w:p w14:paraId="7603AB8D" w14:textId="77777777" w:rsidR="009C200D" w:rsidRPr="0042731B" w:rsidRDefault="0042731B" w:rsidP="0042731B">
      <w:pPr>
        <w:pStyle w:val="Cornernotation"/>
        <w:ind w:left="0" w:hanging="28"/>
        <w:jc w:val="both"/>
        <w:rPr>
          <w:color w:val="000000"/>
          <w:szCs w:val="22"/>
          <w:lang w:val="fr-CA"/>
        </w:rPr>
      </w:pPr>
      <w:r>
        <w:rPr>
          <w:snapToGrid w:val="0"/>
          <w:kern w:val="22"/>
          <w:szCs w:val="22"/>
          <w:lang w:val="fr-CA" w:eastAsia="nb-NO"/>
        </w:rPr>
        <w:t>Montréal (</w:t>
      </w:r>
      <w:r w:rsidRPr="008D22A6">
        <w:rPr>
          <w:snapToGrid w:val="0"/>
          <w:kern w:val="22"/>
          <w:szCs w:val="22"/>
          <w:lang w:val="fr-CA" w:eastAsia="nb-NO"/>
        </w:rPr>
        <w:t>Canada</w:t>
      </w:r>
      <w:r>
        <w:rPr>
          <w:snapToGrid w:val="0"/>
          <w:kern w:val="22"/>
          <w:szCs w:val="22"/>
          <w:lang w:val="fr-CA" w:eastAsia="nb-NO"/>
        </w:rPr>
        <w:t>), 9</w:t>
      </w:r>
      <w:r w:rsidR="00A83B56">
        <w:rPr>
          <w:snapToGrid w:val="0"/>
          <w:kern w:val="22"/>
          <w:szCs w:val="22"/>
          <w:lang w:val="fr-CA" w:eastAsia="nb-NO"/>
        </w:rPr>
        <w:noBreakHyphen/>
      </w:r>
      <w:r>
        <w:rPr>
          <w:snapToGrid w:val="0"/>
          <w:kern w:val="22"/>
          <w:szCs w:val="22"/>
          <w:lang w:val="fr-CA" w:eastAsia="nb-NO"/>
        </w:rPr>
        <w:t>13 </w:t>
      </w:r>
      <w:r w:rsidRPr="008D22A6">
        <w:rPr>
          <w:snapToGrid w:val="0"/>
          <w:kern w:val="22"/>
          <w:szCs w:val="22"/>
          <w:lang w:val="fr-CA" w:eastAsia="nb-NO"/>
        </w:rPr>
        <w:t>juillet</w:t>
      </w:r>
      <w:r>
        <w:rPr>
          <w:snapToGrid w:val="0"/>
          <w:kern w:val="22"/>
          <w:szCs w:val="22"/>
          <w:lang w:val="fr-CA" w:eastAsia="nb-NO"/>
        </w:rPr>
        <w:t> </w:t>
      </w:r>
      <w:r w:rsidRPr="008D22A6">
        <w:rPr>
          <w:snapToGrid w:val="0"/>
          <w:kern w:val="22"/>
          <w:szCs w:val="22"/>
          <w:lang w:val="fr-CA" w:eastAsia="nb-NO"/>
        </w:rPr>
        <w:t>2018</w:t>
      </w:r>
    </w:p>
    <w:p w14:paraId="05D9424D" w14:textId="77777777" w:rsidR="00C9161D" w:rsidRPr="0042731B" w:rsidRDefault="00FB2AC8" w:rsidP="0042731B">
      <w:pPr>
        <w:ind w:hanging="28"/>
        <w:rPr>
          <w:lang w:val="fr-CA"/>
        </w:rPr>
      </w:pPr>
      <w:r w:rsidRPr="00E2057B">
        <w:rPr>
          <w:lang w:val="fr-CA"/>
        </w:rPr>
        <w:t>Point</w:t>
      </w:r>
      <w:r>
        <w:rPr>
          <w:lang w:val="fr-CA"/>
        </w:rPr>
        <w:t> 8 de l</w:t>
      </w:r>
      <w:r w:rsidR="00A83B56">
        <w:rPr>
          <w:lang w:val="fr-CA"/>
        </w:rPr>
        <w:t>’</w:t>
      </w:r>
      <w:r>
        <w:rPr>
          <w:lang w:val="fr-CA"/>
        </w:rPr>
        <w:t>ordre du jour</w:t>
      </w:r>
    </w:p>
    <w:p w14:paraId="7AD14408" w14:textId="10EAD27C" w:rsidR="00C9161D" w:rsidRPr="0042731B" w:rsidRDefault="009078FD" w:rsidP="009078FD">
      <w:pPr>
        <w:pStyle w:val="Heading1"/>
        <w:rPr>
          <w:lang w:val="fr-CA"/>
        </w:rPr>
      </w:pPr>
      <w:r>
        <w:rPr>
          <w:lang w:val="fr-CA"/>
        </w:rPr>
        <w:t>recommandation adoptÉe par l’organe subsidiaire chargÉ de l’application</w:t>
      </w:r>
    </w:p>
    <w:p w14:paraId="492BF2B9" w14:textId="52BE8274" w:rsidR="00176CEE" w:rsidRPr="0042731B" w:rsidRDefault="00A377DE" w:rsidP="009B696F">
      <w:pPr>
        <w:pStyle w:val="recommendationheader"/>
        <w:tabs>
          <w:tab w:val="clear" w:pos="720"/>
        </w:tabs>
        <w:spacing w:after="240"/>
        <w:ind w:left="1418" w:hanging="709"/>
        <w:jc w:val="left"/>
        <w:rPr>
          <w:caps/>
          <w:lang w:val="fr-CA"/>
        </w:rPr>
      </w:pPr>
      <w:r>
        <w:rPr>
          <w:lang w:val="fr-CA"/>
        </w:rPr>
        <w:t>2/18.</w:t>
      </w:r>
      <w:r>
        <w:rPr>
          <w:lang w:val="fr-CA"/>
        </w:rPr>
        <w:tab/>
      </w:r>
      <w:r w:rsidR="005F174D">
        <w:rPr>
          <w:lang w:val="fr-FR"/>
        </w:rPr>
        <w:t>Élé</w:t>
      </w:r>
      <w:r w:rsidRPr="005F174D">
        <w:rPr>
          <w:lang w:val="fr-FR"/>
        </w:rPr>
        <w:t>ments d’orientation méthodologique pour identifier, suivre et évaluer la contribution des peuples autochtones et des communautés locales à la réalisation du Plan stratégique pour la diversité biologique 201-2020</w:t>
      </w:r>
      <w:r w:rsidR="005F174D" w:rsidRPr="005F174D">
        <w:rPr>
          <w:lang w:val="fr-FR"/>
        </w:rPr>
        <w:t xml:space="preserve"> et des Objectifs d’Aichi pour la biodiversité</w:t>
      </w:r>
    </w:p>
    <w:p w14:paraId="3FCFE578" w14:textId="77777777" w:rsidR="009B696F" w:rsidRDefault="009B696F" w:rsidP="009B696F">
      <w:pPr>
        <w:pStyle w:val="NormalWeb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beforeAutospacing="0" w:after="120" w:afterAutospacing="0"/>
        <w:ind w:left="709"/>
        <w:jc w:val="both"/>
        <w:rPr>
          <w:rFonts w:ascii="Times New Roman" w:hAnsi="Times New Roman"/>
          <w:i/>
          <w:kern w:val="22"/>
          <w:sz w:val="22"/>
          <w:szCs w:val="22"/>
          <w:lang w:val="fr-CA"/>
        </w:rPr>
      </w:pPr>
      <w:r>
        <w:rPr>
          <w:rFonts w:ascii="Times New Roman" w:hAnsi="Times New Roman"/>
          <w:i/>
          <w:kern w:val="22"/>
          <w:sz w:val="22"/>
          <w:szCs w:val="22"/>
          <w:lang w:val="fr-CA"/>
        </w:rPr>
        <w:t>L’Organe subsidiaire chargé de l’application</w:t>
      </w:r>
    </w:p>
    <w:p w14:paraId="52F83210" w14:textId="25A2F786" w:rsidR="009B696F" w:rsidRDefault="009B696F" w:rsidP="009B696F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i/>
          <w:iCs/>
          <w:kern w:val="22"/>
          <w:szCs w:val="22"/>
          <w:lang w:val="fr-CA"/>
        </w:rPr>
      </w:pPr>
      <w:r>
        <w:rPr>
          <w:i/>
          <w:kern w:val="22"/>
          <w:szCs w:val="22"/>
          <w:lang w:val="fr-CA"/>
        </w:rPr>
        <w:t>Recommande</w:t>
      </w:r>
      <w:r>
        <w:rPr>
          <w:kern w:val="22"/>
          <w:szCs w:val="22"/>
          <w:lang w:val="fr-CA"/>
        </w:rPr>
        <w:t xml:space="preserve"> à la Conférence des Parties d’adopter, à sa quatorzième réunion, une décision dans ce sens :</w:t>
      </w:r>
    </w:p>
    <w:p w14:paraId="360B7AF3" w14:textId="77777777" w:rsidR="00FF7D65" w:rsidRPr="0042731B" w:rsidRDefault="00784C04" w:rsidP="00FF7D65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i/>
          <w:iCs/>
          <w:kern w:val="22"/>
          <w:szCs w:val="22"/>
          <w:lang w:val="fr-CA"/>
        </w:rPr>
      </w:pPr>
      <w:r>
        <w:rPr>
          <w:i/>
          <w:iCs/>
          <w:kern w:val="22"/>
          <w:szCs w:val="22"/>
          <w:lang w:val="fr-CA"/>
        </w:rPr>
        <w:t>La Conférence des</w:t>
      </w:r>
      <w:r w:rsidRPr="001C5D05">
        <w:rPr>
          <w:i/>
          <w:iCs/>
          <w:kern w:val="22"/>
          <w:szCs w:val="22"/>
          <w:lang w:val="fr-CA"/>
        </w:rPr>
        <w:t xml:space="preserve"> Parties</w:t>
      </w:r>
      <w:r w:rsidR="00CE58EF">
        <w:rPr>
          <w:i/>
          <w:iCs/>
          <w:kern w:val="22"/>
          <w:szCs w:val="22"/>
          <w:lang w:val="fr-CA"/>
        </w:rPr>
        <w:t>,</w:t>
      </w:r>
    </w:p>
    <w:p w14:paraId="71788AA6" w14:textId="60DEA988" w:rsidR="00FF7D65" w:rsidRPr="0042731B" w:rsidRDefault="00784C04" w:rsidP="00FF7D65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rFonts w:eastAsia="Batang"/>
          <w:kern w:val="22"/>
          <w:szCs w:val="22"/>
          <w:lang w:val="fr-CA"/>
        </w:rPr>
      </w:pPr>
      <w:r>
        <w:rPr>
          <w:rFonts w:eastAsia="Batang"/>
          <w:i/>
          <w:kern w:val="22"/>
          <w:szCs w:val="22"/>
          <w:lang w:val="fr-CA"/>
        </w:rPr>
        <w:t xml:space="preserve">Rappelant </w:t>
      </w:r>
      <w:r>
        <w:rPr>
          <w:rFonts w:eastAsia="Batang"/>
          <w:kern w:val="22"/>
          <w:szCs w:val="22"/>
          <w:lang w:val="fr-CA"/>
        </w:rPr>
        <w:t xml:space="preserve">la décision XIII/20, dans laquelle la Conférence des Parties </w:t>
      </w:r>
      <w:r w:rsidR="009B696F">
        <w:rPr>
          <w:rFonts w:eastAsia="Batang"/>
          <w:kern w:val="22"/>
          <w:szCs w:val="22"/>
          <w:lang w:val="fr-CA"/>
        </w:rPr>
        <w:t>a demandé</w:t>
      </w:r>
      <w:r>
        <w:rPr>
          <w:rFonts w:eastAsia="Batang"/>
          <w:kern w:val="22"/>
          <w:szCs w:val="22"/>
          <w:lang w:val="fr-CA"/>
        </w:rPr>
        <w:t xml:space="preserve"> à </w:t>
      </w:r>
      <w:r w:rsidR="009B696F">
        <w:rPr>
          <w:rFonts w:eastAsia="Batang"/>
          <w:kern w:val="22"/>
          <w:szCs w:val="22"/>
          <w:lang w:val="fr-CA"/>
        </w:rPr>
        <w:t>la Secrétaire exécutive d’élaborer d</w:t>
      </w:r>
      <w:r>
        <w:rPr>
          <w:rFonts w:eastAsia="Batang"/>
          <w:kern w:val="22"/>
          <w:szCs w:val="22"/>
          <w:lang w:val="fr-CA"/>
        </w:rPr>
        <w:t>es éléments d</w:t>
      </w:r>
      <w:r w:rsidR="00A83B56">
        <w:rPr>
          <w:rFonts w:eastAsia="Batang"/>
          <w:kern w:val="22"/>
          <w:szCs w:val="22"/>
          <w:lang w:val="fr-CA"/>
        </w:rPr>
        <w:t>’</w:t>
      </w:r>
      <w:r>
        <w:rPr>
          <w:rFonts w:eastAsia="Batang"/>
          <w:kern w:val="22"/>
          <w:szCs w:val="22"/>
          <w:lang w:val="fr-CA"/>
        </w:rPr>
        <w:t>orientation méthodologique sur la contribution des peuples autochtones et des communautés locales</w:t>
      </w:r>
      <w:r w:rsidR="00D90F6F">
        <w:rPr>
          <w:rFonts w:eastAsia="Batang"/>
          <w:kern w:val="22"/>
          <w:szCs w:val="22"/>
          <w:lang w:val="fr-CA"/>
        </w:rPr>
        <w:t>,</w:t>
      </w:r>
    </w:p>
    <w:p w14:paraId="386C025C" w14:textId="5DCE97CC" w:rsidR="00B80DE4" w:rsidRPr="0042731B" w:rsidRDefault="00784C04" w:rsidP="00A83B5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eastAsia="MS Mincho"/>
          <w:snapToGrid w:val="0"/>
          <w:kern w:val="22"/>
          <w:szCs w:val="22"/>
          <w:lang w:val="fr-CA"/>
        </w:rPr>
      </w:pPr>
      <w:r>
        <w:rPr>
          <w:i/>
          <w:iCs/>
          <w:snapToGrid w:val="0"/>
          <w:kern w:val="22"/>
          <w:szCs w:val="22"/>
          <w:lang w:val="fr-CA"/>
        </w:rPr>
        <w:t>Reconnaissant</w:t>
      </w:r>
      <w:r>
        <w:rPr>
          <w:snapToGrid w:val="0"/>
          <w:kern w:val="22"/>
          <w:szCs w:val="22"/>
          <w:lang w:val="fr-CA"/>
        </w:rPr>
        <w:t xml:space="preserve"> l</w:t>
      </w:r>
      <w:r w:rsidR="00A83B56">
        <w:rPr>
          <w:snapToGrid w:val="0"/>
          <w:kern w:val="22"/>
          <w:szCs w:val="22"/>
          <w:lang w:val="fr-CA"/>
        </w:rPr>
        <w:t>’</w:t>
      </w:r>
      <w:r>
        <w:rPr>
          <w:snapToGrid w:val="0"/>
          <w:kern w:val="22"/>
          <w:szCs w:val="22"/>
          <w:lang w:val="fr-CA"/>
        </w:rPr>
        <w:t>importance de la contribution des</w:t>
      </w:r>
      <w:r w:rsidR="009B696F">
        <w:rPr>
          <w:snapToGrid w:val="0"/>
          <w:kern w:val="22"/>
          <w:szCs w:val="22"/>
          <w:lang w:val="fr-CA"/>
        </w:rPr>
        <w:t xml:space="preserve"> mesures collectives intégrées</w:t>
      </w:r>
      <w:r>
        <w:rPr>
          <w:snapToGrid w:val="0"/>
          <w:kern w:val="22"/>
          <w:szCs w:val="22"/>
          <w:lang w:val="fr-CA"/>
        </w:rPr>
        <w:t xml:space="preserve"> des peuples autochtones et des communautés locales à la réalisation de</w:t>
      </w:r>
      <w:r w:rsidR="009B696F">
        <w:rPr>
          <w:snapToGrid w:val="0"/>
          <w:kern w:val="22"/>
          <w:szCs w:val="22"/>
          <w:lang w:val="fr-CA"/>
        </w:rPr>
        <w:t>s objectifs du Plan stratégique</w:t>
      </w:r>
      <w:r>
        <w:rPr>
          <w:snapToGrid w:val="0"/>
          <w:kern w:val="22"/>
          <w:szCs w:val="22"/>
          <w:lang w:val="fr-CA"/>
        </w:rPr>
        <w:t xml:space="preserve"> pour la diversité biologique</w:t>
      </w:r>
      <w:r w:rsidR="009B696F">
        <w:rPr>
          <w:snapToGrid w:val="0"/>
          <w:kern w:val="22"/>
          <w:szCs w:val="22"/>
          <w:lang w:val="fr-CA"/>
        </w:rPr>
        <w:t xml:space="preserve"> </w:t>
      </w:r>
      <w:r w:rsidR="009B696F">
        <w:rPr>
          <w:snapToGrid w:val="0"/>
          <w:kern w:val="22"/>
          <w:szCs w:val="22"/>
          <w:lang w:val="fr-CA"/>
        </w:rPr>
        <w:t>2011</w:t>
      </w:r>
      <w:r w:rsidR="009B696F">
        <w:rPr>
          <w:snapToGrid w:val="0"/>
          <w:kern w:val="22"/>
          <w:szCs w:val="22"/>
          <w:lang w:val="fr-CA"/>
        </w:rPr>
        <w:noBreakHyphen/>
        <w:t>2020</w:t>
      </w:r>
      <w:r w:rsidR="00592B5E">
        <w:rPr>
          <w:rStyle w:val="FootnoteReference"/>
          <w:iCs/>
          <w:snapToGrid w:val="0"/>
          <w:kern w:val="22"/>
          <w:szCs w:val="22"/>
        </w:rPr>
        <w:footnoteReference w:id="1"/>
      </w:r>
      <w:r>
        <w:rPr>
          <w:snapToGrid w:val="0"/>
          <w:kern w:val="22"/>
          <w:szCs w:val="22"/>
          <w:lang w:val="fr-CA"/>
        </w:rPr>
        <w:t xml:space="preserve"> et des Objectifs d</w:t>
      </w:r>
      <w:r w:rsidR="00A83B56">
        <w:rPr>
          <w:snapToGrid w:val="0"/>
          <w:kern w:val="22"/>
          <w:szCs w:val="22"/>
          <w:lang w:val="fr-CA"/>
        </w:rPr>
        <w:t>’</w:t>
      </w:r>
      <w:r>
        <w:rPr>
          <w:snapToGrid w:val="0"/>
          <w:kern w:val="22"/>
          <w:szCs w:val="22"/>
          <w:lang w:val="fr-CA"/>
        </w:rPr>
        <w:t>Aichi pour la biodiversité</w:t>
      </w:r>
      <w:r w:rsidR="0074776C">
        <w:rPr>
          <w:snapToGrid w:val="0"/>
          <w:kern w:val="22"/>
          <w:szCs w:val="22"/>
          <w:lang w:val="fr-CA"/>
        </w:rPr>
        <w:t xml:space="preserve"> dans un c</w:t>
      </w:r>
      <w:r w:rsidR="00C83A4D">
        <w:rPr>
          <w:snapToGrid w:val="0"/>
          <w:kern w:val="22"/>
          <w:szCs w:val="22"/>
          <w:lang w:val="fr-CA"/>
        </w:rPr>
        <w:t>adre</w:t>
      </w:r>
      <w:r w:rsidR="0074776C">
        <w:rPr>
          <w:snapToGrid w:val="0"/>
          <w:kern w:val="22"/>
          <w:szCs w:val="22"/>
          <w:lang w:val="fr-CA"/>
        </w:rPr>
        <w:t xml:space="preserve"> </w:t>
      </w:r>
      <w:r w:rsidR="00C83A4D">
        <w:rPr>
          <w:snapToGrid w:val="0"/>
          <w:kern w:val="22"/>
          <w:szCs w:val="22"/>
          <w:lang w:val="fr-CA"/>
        </w:rPr>
        <w:t xml:space="preserve">qui tient compte </w:t>
      </w:r>
      <w:r w:rsidR="0074776C">
        <w:rPr>
          <w:snapToGrid w:val="0"/>
          <w:kern w:val="22"/>
          <w:szCs w:val="22"/>
          <w:lang w:val="fr-CA"/>
        </w:rPr>
        <w:t>de</w:t>
      </w:r>
      <w:r w:rsidR="00C83A4D">
        <w:rPr>
          <w:snapToGrid w:val="0"/>
          <w:kern w:val="22"/>
          <w:szCs w:val="22"/>
          <w:lang w:val="fr-CA"/>
        </w:rPr>
        <w:t xml:space="preserve">s droits, des </w:t>
      </w:r>
      <w:r w:rsidR="0074776C">
        <w:rPr>
          <w:snapToGrid w:val="0"/>
          <w:kern w:val="22"/>
          <w:szCs w:val="22"/>
          <w:lang w:val="fr-CA"/>
        </w:rPr>
        <w:t>principes</w:t>
      </w:r>
      <w:r w:rsidR="00C83A4D">
        <w:rPr>
          <w:snapToGrid w:val="0"/>
          <w:kern w:val="22"/>
          <w:szCs w:val="22"/>
          <w:lang w:val="fr-CA"/>
        </w:rPr>
        <w:t xml:space="preserve"> et valeurs</w:t>
      </w:r>
      <w:r w:rsidR="009B696F">
        <w:rPr>
          <w:snapToGrid w:val="0"/>
          <w:kern w:val="22"/>
          <w:szCs w:val="22"/>
          <w:lang w:val="fr-CA"/>
        </w:rPr>
        <w:t xml:space="preserve"> éthiques</w:t>
      </w:r>
      <w:r w:rsidR="00C83A4D">
        <w:rPr>
          <w:snapToGrid w:val="0"/>
          <w:kern w:val="22"/>
          <w:szCs w:val="22"/>
          <w:lang w:val="fr-CA"/>
        </w:rPr>
        <w:t>, de</w:t>
      </w:r>
      <w:r w:rsidR="00831B06">
        <w:rPr>
          <w:snapToGrid w:val="0"/>
          <w:kern w:val="22"/>
          <w:szCs w:val="22"/>
          <w:lang w:val="fr-CA"/>
        </w:rPr>
        <w:t xml:space="preserve"> la</w:t>
      </w:r>
      <w:r w:rsidR="009B696F">
        <w:rPr>
          <w:snapToGrid w:val="0"/>
          <w:kern w:val="22"/>
          <w:szCs w:val="22"/>
          <w:lang w:val="fr-CA"/>
        </w:rPr>
        <w:t xml:space="preserve"> gouvernance, et des rôles différents des femmes et des hommes </w:t>
      </w:r>
      <w:r w:rsidR="00831B06">
        <w:rPr>
          <w:snapToGrid w:val="0"/>
          <w:kern w:val="22"/>
          <w:szCs w:val="22"/>
          <w:lang w:val="fr-CA"/>
        </w:rPr>
        <w:t>au sein des peuples autochtones et des communautés locales,</w:t>
      </w:r>
      <w:r w:rsidR="00B80DE4" w:rsidRPr="0042731B">
        <w:rPr>
          <w:iCs/>
          <w:snapToGrid w:val="0"/>
          <w:kern w:val="22"/>
          <w:szCs w:val="22"/>
          <w:lang w:val="fr-CA"/>
        </w:rPr>
        <w:t xml:space="preserve"> </w:t>
      </w:r>
    </w:p>
    <w:p w14:paraId="22A3473C" w14:textId="65E8807E" w:rsidR="00FF7D65" w:rsidRPr="0042731B" w:rsidRDefault="00FF7D65" w:rsidP="00831B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fr-CA"/>
        </w:rPr>
      </w:pPr>
      <w:r w:rsidRPr="0042731B">
        <w:rPr>
          <w:iCs/>
          <w:snapToGrid w:val="0"/>
          <w:kern w:val="22"/>
          <w:szCs w:val="22"/>
          <w:lang w:val="fr-CA"/>
        </w:rPr>
        <w:t>1.</w:t>
      </w:r>
      <w:r w:rsidRPr="0042731B">
        <w:rPr>
          <w:i/>
          <w:iCs/>
          <w:snapToGrid w:val="0"/>
          <w:kern w:val="22"/>
          <w:szCs w:val="22"/>
          <w:lang w:val="fr-CA"/>
        </w:rPr>
        <w:tab/>
      </w:r>
      <w:r w:rsidR="00831B06">
        <w:rPr>
          <w:i/>
          <w:iCs/>
          <w:snapToGrid w:val="0"/>
          <w:kern w:val="22"/>
          <w:szCs w:val="22"/>
          <w:lang w:val="fr-CA"/>
        </w:rPr>
        <w:t xml:space="preserve">Accueille </w:t>
      </w:r>
      <w:r w:rsidR="00831B06">
        <w:rPr>
          <w:iCs/>
          <w:snapToGrid w:val="0"/>
          <w:kern w:val="22"/>
          <w:szCs w:val="22"/>
          <w:lang w:val="fr-CA"/>
        </w:rPr>
        <w:t xml:space="preserve">la liste indicative </w:t>
      </w:r>
      <w:r w:rsidR="009B696F">
        <w:rPr>
          <w:iCs/>
          <w:snapToGrid w:val="0"/>
          <w:kern w:val="22"/>
          <w:szCs w:val="22"/>
          <w:lang w:val="fr-CA"/>
        </w:rPr>
        <w:t>non exhaustive des éléments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831B06">
        <w:rPr>
          <w:iCs/>
          <w:snapToGrid w:val="0"/>
          <w:kern w:val="22"/>
          <w:szCs w:val="22"/>
          <w:lang w:val="fr-CA"/>
        </w:rPr>
        <w:t>orientation méthodologique pour identifier, suivre et évaluer la contribution des peuples autochtones et des communautés locales à la réalisation de</w:t>
      </w:r>
      <w:r w:rsidR="009B696F">
        <w:rPr>
          <w:iCs/>
          <w:snapToGrid w:val="0"/>
          <w:kern w:val="22"/>
          <w:szCs w:val="22"/>
          <w:lang w:val="fr-CA"/>
        </w:rPr>
        <w:t>s objectifs du Plan stratégique</w:t>
      </w:r>
      <w:r w:rsidR="00831B06">
        <w:rPr>
          <w:iCs/>
          <w:snapToGrid w:val="0"/>
          <w:kern w:val="22"/>
          <w:szCs w:val="22"/>
          <w:lang w:val="fr-CA"/>
        </w:rPr>
        <w:t xml:space="preserve"> pour la diversité biologique </w:t>
      </w:r>
      <w:r w:rsidR="009B696F">
        <w:rPr>
          <w:iCs/>
          <w:snapToGrid w:val="0"/>
          <w:kern w:val="22"/>
          <w:szCs w:val="22"/>
          <w:lang w:val="fr-CA"/>
        </w:rPr>
        <w:t>2011</w:t>
      </w:r>
      <w:r w:rsidR="009B696F">
        <w:rPr>
          <w:iCs/>
          <w:snapToGrid w:val="0"/>
          <w:kern w:val="22"/>
          <w:szCs w:val="22"/>
          <w:lang w:val="fr-CA"/>
        </w:rPr>
        <w:noBreakHyphen/>
        <w:t>2020</w:t>
      </w:r>
      <w:r w:rsidR="009B696F">
        <w:rPr>
          <w:iCs/>
          <w:snapToGrid w:val="0"/>
          <w:kern w:val="22"/>
          <w:szCs w:val="22"/>
          <w:lang w:val="fr-CA"/>
        </w:rPr>
        <w:t xml:space="preserve"> </w:t>
      </w:r>
      <w:r w:rsidR="00831B06">
        <w:rPr>
          <w:iCs/>
          <w:snapToGrid w:val="0"/>
          <w:kern w:val="22"/>
          <w:szCs w:val="22"/>
          <w:lang w:val="fr-CA"/>
        </w:rPr>
        <w:t>et des Objectifs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9B696F">
        <w:rPr>
          <w:iCs/>
          <w:snapToGrid w:val="0"/>
          <w:kern w:val="22"/>
          <w:szCs w:val="22"/>
          <w:lang w:val="fr-CA"/>
        </w:rPr>
        <w:t>Aichi pour la biodiversité</w:t>
      </w:r>
      <w:r w:rsidRPr="0042731B">
        <w:rPr>
          <w:iCs/>
          <w:snapToGrid w:val="0"/>
          <w:kern w:val="22"/>
          <w:szCs w:val="22"/>
          <w:lang w:val="fr-CA"/>
        </w:rPr>
        <w:t>;</w:t>
      </w:r>
    </w:p>
    <w:p w14:paraId="6CF08B08" w14:textId="33822DC8" w:rsidR="00FF7D65" w:rsidRPr="0042731B" w:rsidRDefault="00B80DE4" w:rsidP="00831B0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fr-CA"/>
        </w:rPr>
      </w:pPr>
      <w:r w:rsidRPr="0042731B">
        <w:rPr>
          <w:iCs/>
          <w:snapToGrid w:val="0"/>
          <w:kern w:val="22"/>
          <w:szCs w:val="22"/>
          <w:lang w:val="fr-CA"/>
        </w:rPr>
        <w:t>2</w:t>
      </w:r>
      <w:r w:rsidR="00FF7D65" w:rsidRPr="0042731B">
        <w:rPr>
          <w:i/>
          <w:iCs/>
          <w:snapToGrid w:val="0"/>
          <w:kern w:val="22"/>
          <w:szCs w:val="22"/>
          <w:lang w:val="fr-CA"/>
        </w:rPr>
        <w:t>.</w:t>
      </w:r>
      <w:r w:rsidR="00FF7D65" w:rsidRPr="0042731B">
        <w:rPr>
          <w:i/>
          <w:iCs/>
          <w:snapToGrid w:val="0"/>
          <w:kern w:val="22"/>
          <w:szCs w:val="22"/>
          <w:lang w:val="fr-CA"/>
        </w:rPr>
        <w:tab/>
      </w:r>
      <w:r w:rsidR="00831B06">
        <w:rPr>
          <w:i/>
          <w:iCs/>
          <w:snapToGrid w:val="0"/>
          <w:kern w:val="22"/>
          <w:szCs w:val="22"/>
          <w:lang w:val="fr-CA"/>
        </w:rPr>
        <w:t xml:space="preserve">Invite </w:t>
      </w:r>
      <w:r w:rsidR="00831B06">
        <w:rPr>
          <w:iCs/>
          <w:snapToGrid w:val="0"/>
          <w:kern w:val="22"/>
          <w:szCs w:val="22"/>
          <w:lang w:val="fr-CA"/>
        </w:rPr>
        <w:t>les Parties, les autres gouvernements et les organisations intéressées à utiliser les principes directeurs de l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831B06">
        <w:rPr>
          <w:iCs/>
          <w:snapToGrid w:val="0"/>
          <w:kern w:val="22"/>
          <w:szCs w:val="22"/>
          <w:lang w:val="fr-CA"/>
        </w:rPr>
        <w:t>évaluation de la contribution des mesures collectives des peuples autochtones et des communautés locales, joints en annexe à la décision XIII/20, à envisager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831B06">
        <w:rPr>
          <w:iCs/>
          <w:snapToGrid w:val="0"/>
          <w:kern w:val="22"/>
          <w:szCs w:val="22"/>
          <w:lang w:val="fr-CA"/>
        </w:rPr>
        <w:t xml:space="preserve">utiliser la liste indicative </w:t>
      </w:r>
      <w:r w:rsidR="009B696F">
        <w:rPr>
          <w:iCs/>
          <w:snapToGrid w:val="0"/>
          <w:kern w:val="22"/>
          <w:szCs w:val="22"/>
          <w:lang w:val="fr-CA"/>
        </w:rPr>
        <w:t>non exhaustive des éléments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831B06">
        <w:rPr>
          <w:iCs/>
          <w:snapToGrid w:val="0"/>
          <w:kern w:val="22"/>
          <w:szCs w:val="22"/>
          <w:lang w:val="fr-CA"/>
        </w:rPr>
        <w:t>orientation méthodologique jointe en annexe à la présente décision lors de la conception et de l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9B696F">
        <w:rPr>
          <w:iCs/>
          <w:snapToGrid w:val="0"/>
          <w:kern w:val="22"/>
          <w:szCs w:val="22"/>
          <w:lang w:val="fr-CA"/>
        </w:rPr>
        <w:t>application d’</w:t>
      </w:r>
      <w:r w:rsidR="00831B06">
        <w:rPr>
          <w:iCs/>
          <w:snapToGrid w:val="0"/>
          <w:kern w:val="22"/>
          <w:szCs w:val="22"/>
          <w:lang w:val="fr-CA"/>
        </w:rPr>
        <w:t>approches méthodologiques pour évaluer la contribution des peuples autochtones et des communautés locales à la réalisation des objectifs du Plan stratégique pour la diversité biologique</w:t>
      </w:r>
      <w:r w:rsidR="009B696F">
        <w:rPr>
          <w:iCs/>
          <w:snapToGrid w:val="0"/>
          <w:kern w:val="22"/>
          <w:szCs w:val="22"/>
          <w:lang w:val="fr-CA"/>
        </w:rPr>
        <w:t xml:space="preserve"> </w:t>
      </w:r>
      <w:r w:rsidR="009B696F">
        <w:rPr>
          <w:iCs/>
          <w:snapToGrid w:val="0"/>
          <w:kern w:val="22"/>
          <w:szCs w:val="22"/>
          <w:lang w:val="fr-CA"/>
        </w:rPr>
        <w:t>2011</w:t>
      </w:r>
      <w:r w:rsidR="009B696F">
        <w:rPr>
          <w:iCs/>
          <w:snapToGrid w:val="0"/>
          <w:kern w:val="22"/>
          <w:szCs w:val="22"/>
          <w:lang w:val="fr-CA"/>
        </w:rPr>
        <w:noBreakHyphen/>
        <w:t>2020</w:t>
      </w:r>
      <w:r w:rsidR="00831B06">
        <w:rPr>
          <w:iCs/>
          <w:snapToGrid w:val="0"/>
          <w:kern w:val="22"/>
          <w:szCs w:val="22"/>
          <w:lang w:val="fr-CA"/>
        </w:rPr>
        <w:t xml:space="preserve"> et des Objectifs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9B696F">
        <w:rPr>
          <w:iCs/>
          <w:snapToGrid w:val="0"/>
          <w:kern w:val="22"/>
          <w:szCs w:val="22"/>
          <w:lang w:val="fr-CA"/>
        </w:rPr>
        <w:t>Aichi pour la biodiversité</w:t>
      </w:r>
      <w:r w:rsidR="00831B06">
        <w:rPr>
          <w:iCs/>
          <w:snapToGrid w:val="0"/>
          <w:kern w:val="22"/>
          <w:szCs w:val="22"/>
          <w:lang w:val="fr-CA"/>
        </w:rPr>
        <w:t xml:space="preserve"> et dans la préparation des rapports soumis par le b</w:t>
      </w:r>
      <w:r w:rsidR="003E3E8A">
        <w:rPr>
          <w:iCs/>
          <w:snapToGrid w:val="0"/>
          <w:kern w:val="22"/>
          <w:szCs w:val="22"/>
          <w:lang w:val="fr-CA"/>
        </w:rPr>
        <w:t>iais du mécanisme de présentation des rapports financiers</w:t>
      </w:r>
      <w:r w:rsidR="00FF7D65" w:rsidRPr="0042731B">
        <w:rPr>
          <w:iCs/>
          <w:snapToGrid w:val="0"/>
          <w:kern w:val="22"/>
          <w:szCs w:val="22"/>
          <w:lang w:val="fr-CA"/>
        </w:rPr>
        <w:t>.</w:t>
      </w:r>
    </w:p>
    <w:p w14:paraId="6312A19F" w14:textId="77777777" w:rsidR="00FF7D65" w:rsidRPr="0042731B" w:rsidRDefault="00FF7D65" w:rsidP="00FF7D65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b/>
          <w:snapToGrid w:val="0"/>
          <w:kern w:val="22"/>
          <w:szCs w:val="22"/>
          <w:lang w:val="fr-CA"/>
        </w:rPr>
      </w:pPr>
      <w:r w:rsidRPr="0042731B">
        <w:rPr>
          <w:bCs/>
          <w:i/>
          <w:snapToGrid w:val="0"/>
          <w:kern w:val="22"/>
          <w:szCs w:val="22"/>
          <w:lang w:val="fr-CA"/>
        </w:rPr>
        <w:lastRenderedPageBreak/>
        <w:t>Annex</w:t>
      </w:r>
      <w:r w:rsidR="00831B06">
        <w:rPr>
          <w:bCs/>
          <w:i/>
          <w:snapToGrid w:val="0"/>
          <w:kern w:val="22"/>
          <w:szCs w:val="22"/>
          <w:lang w:val="fr-CA"/>
        </w:rPr>
        <w:t>e</w:t>
      </w:r>
    </w:p>
    <w:p w14:paraId="5CCF4A5E" w14:textId="4DBA6486" w:rsidR="00FF7D65" w:rsidRPr="0042731B" w:rsidRDefault="00B54EA7" w:rsidP="00FF7D65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snapToGrid w:val="0"/>
          <w:kern w:val="22"/>
          <w:szCs w:val="22"/>
          <w:lang w:val="fr-CA"/>
        </w:rPr>
      </w:pPr>
      <w:r>
        <w:rPr>
          <w:b/>
          <w:snapToGrid w:val="0"/>
          <w:kern w:val="22"/>
          <w:lang w:val="fr-CA"/>
        </w:rPr>
        <w:t>LISTE DES ÉLÉMENTS D</w:t>
      </w:r>
      <w:r w:rsidR="00A83B56">
        <w:rPr>
          <w:b/>
          <w:snapToGrid w:val="0"/>
          <w:kern w:val="22"/>
          <w:lang w:val="fr-CA"/>
        </w:rPr>
        <w:t>’</w:t>
      </w:r>
      <w:r w:rsidR="001A7EED">
        <w:rPr>
          <w:b/>
          <w:snapToGrid w:val="0"/>
          <w:kern w:val="22"/>
          <w:lang w:val="fr-CA"/>
        </w:rPr>
        <w:t>ORIENTATION MÉTHODOLOGIQUE</w:t>
      </w:r>
    </w:p>
    <w:p w14:paraId="1764F0C9" w14:textId="12BF4A67" w:rsidR="00FF7D65" w:rsidRPr="0042731B" w:rsidRDefault="001A7EED" w:rsidP="00FF7D65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Cs/>
          <w:snapToGrid w:val="0"/>
          <w:kern w:val="22"/>
          <w:szCs w:val="22"/>
          <w:lang w:val="fr-CA"/>
        </w:rPr>
      </w:pPr>
      <w:r>
        <w:rPr>
          <w:iCs/>
          <w:snapToGrid w:val="0"/>
          <w:kern w:val="22"/>
          <w:szCs w:val="22"/>
          <w:lang w:val="fr-CA"/>
        </w:rPr>
        <w:t>Les approches méthodologiques pour identifier, suivre et évaluer la contribution des peuples autochtones et des communautés locales à la réalisation de</w:t>
      </w:r>
      <w:r w:rsidR="00B54EA7">
        <w:rPr>
          <w:iCs/>
          <w:snapToGrid w:val="0"/>
          <w:kern w:val="22"/>
          <w:szCs w:val="22"/>
          <w:lang w:val="fr-CA"/>
        </w:rPr>
        <w:t>s objectifs du Plan stratégique</w:t>
      </w:r>
      <w:r>
        <w:rPr>
          <w:iCs/>
          <w:snapToGrid w:val="0"/>
          <w:kern w:val="22"/>
          <w:szCs w:val="22"/>
          <w:lang w:val="fr-CA"/>
        </w:rPr>
        <w:t xml:space="preserve"> pour la diversité biologique </w:t>
      </w:r>
      <w:r w:rsidR="00B54EA7">
        <w:rPr>
          <w:iCs/>
          <w:snapToGrid w:val="0"/>
          <w:kern w:val="22"/>
          <w:szCs w:val="22"/>
          <w:lang w:val="fr-CA"/>
        </w:rPr>
        <w:t>2011</w:t>
      </w:r>
      <w:r w:rsidR="00B54EA7">
        <w:rPr>
          <w:iCs/>
          <w:snapToGrid w:val="0"/>
          <w:kern w:val="22"/>
          <w:szCs w:val="22"/>
          <w:lang w:val="fr-CA"/>
        </w:rPr>
        <w:noBreakHyphen/>
        <w:t>2020</w:t>
      </w:r>
      <w:r w:rsidR="00B54EA7">
        <w:rPr>
          <w:iCs/>
          <w:snapToGrid w:val="0"/>
          <w:kern w:val="22"/>
          <w:szCs w:val="22"/>
          <w:lang w:val="fr-CA"/>
        </w:rPr>
        <w:t xml:space="preserve"> </w:t>
      </w:r>
      <w:r>
        <w:rPr>
          <w:iCs/>
          <w:snapToGrid w:val="0"/>
          <w:kern w:val="22"/>
          <w:szCs w:val="22"/>
          <w:lang w:val="fr-CA"/>
        </w:rPr>
        <w:t>et des Objectifs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 w:rsidR="00B54EA7">
        <w:rPr>
          <w:iCs/>
          <w:snapToGrid w:val="0"/>
          <w:kern w:val="22"/>
          <w:szCs w:val="22"/>
          <w:lang w:val="fr-CA"/>
        </w:rPr>
        <w:t>Aichi pour la biodiversité</w:t>
      </w:r>
      <w:r>
        <w:rPr>
          <w:iCs/>
          <w:snapToGrid w:val="0"/>
          <w:kern w:val="22"/>
          <w:szCs w:val="22"/>
          <w:lang w:val="fr-CA"/>
        </w:rPr>
        <w:t xml:space="preserve"> devraient appliquer les principes directeurs contenus dans la décision XIII/20 de la Conférence des Parties à la Convention sur la diversité biologique afin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>
        <w:rPr>
          <w:iCs/>
          <w:snapToGrid w:val="0"/>
          <w:kern w:val="22"/>
          <w:szCs w:val="22"/>
          <w:lang w:val="fr-CA"/>
        </w:rPr>
        <w:t>encadrer et de diriger la conception de telles méthodologies, et respecter la liste indicative non exhaustive d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>
        <w:rPr>
          <w:iCs/>
          <w:snapToGrid w:val="0"/>
          <w:kern w:val="22"/>
          <w:szCs w:val="22"/>
          <w:lang w:val="fr-CA"/>
        </w:rPr>
        <w:t>éléments méthodologiques suivante pour la conception et l</w:t>
      </w:r>
      <w:r w:rsidR="00A83B56">
        <w:rPr>
          <w:iCs/>
          <w:snapToGrid w:val="0"/>
          <w:kern w:val="22"/>
          <w:szCs w:val="22"/>
          <w:lang w:val="fr-CA"/>
        </w:rPr>
        <w:t>’</w:t>
      </w:r>
      <w:r>
        <w:rPr>
          <w:iCs/>
          <w:snapToGrid w:val="0"/>
          <w:kern w:val="22"/>
          <w:szCs w:val="22"/>
          <w:lang w:val="fr-CA"/>
        </w:rPr>
        <w:t>application de ces méthodologies :</w:t>
      </w:r>
    </w:p>
    <w:p w14:paraId="1676136F" w14:textId="3DE92920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Reconnaître et inclure à part entière les connaissances traditionnelles, afin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assurer la complémentarité des systèmes de connaissances, la création de conditions pour un dialogue efficace entre les systèmes de connaissances, y compris la science, et le</w:t>
      </w:r>
      <w:r w:rsidR="00B54EA7">
        <w:rPr>
          <w:kern w:val="22"/>
          <w:lang w:val="fr-CA"/>
        </w:rPr>
        <w:t xml:space="preserve">s processus qui favorisent la </w:t>
      </w:r>
      <w:r>
        <w:rPr>
          <w:kern w:val="22"/>
          <w:lang w:val="fr-CA"/>
        </w:rPr>
        <w:t>création</w:t>
      </w:r>
      <w:r w:rsidR="00B54EA7">
        <w:rPr>
          <w:kern w:val="22"/>
          <w:lang w:val="fr-CA"/>
        </w:rPr>
        <w:t xml:space="preserve"> conjointe</w:t>
      </w:r>
      <w:r>
        <w:rPr>
          <w:kern w:val="22"/>
          <w:lang w:val="fr-CA"/>
        </w:rPr>
        <w:t xml:space="preserve"> de connaissances dès le départ;</w:t>
      </w:r>
    </w:p>
    <w:p w14:paraId="4AD43695" w14:textId="595D42F8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Inclure une vaste gamme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approches méthodologiques, en fonction de la spécificité des contextes, e</w:t>
      </w:r>
      <w:r w:rsidR="00A10B85">
        <w:rPr>
          <w:kern w:val="22"/>
          <w:lang w:val="fr-CA"/>
        </w:rPr>
        <w:t xml:space="preserve">n tenant compte </w:t>
      </w:r>
      <w:r>
        <w:rPr>
          <w:kern w:val="22"/>
          <w:lang w:val="fr-CA"/>
        </w:rPr>
        <w:t>des circonstances nationales et de la diversité culturelle des peuples autochtones et des communautés locales, et les appliquer en les adaptant aux circonstances locales;</w:t>
      </w:r>
    </w:p>
    <w:p w14:paraId="4A3EC0E1" w14:textId="562FD698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Reconnaître les nombreuses perspectiv</w:t>
      </w:r>
      <w:r w:rsidR="00B54EA7">
        <w:rPr>
          <w:kern w:val="22"/>
          <w:lang w:val="fr-CA"/>
        </w:rPr>
        <w:t xml:space="preserve">es et perceptions du monde liées aux valeurs, notamment </w:t>
      </w:r>
      <w:r>
        <w:rPr>
          <w:kern w:val="22"/>
          <w:lang w:val="fr-CA"/>
        </w:rPr>
        <w:t>les valeurs sociales, économiques, cultu</w:t>
      </w:r>
      <w:r w:rsidR="00A150CB">
        <w:rPr>
          <w:kern w:val="22"/>
          <w:lang w:val="fr-CA"/>
        </w:rPr>
        <w:t>relles et spirituelles, rattachées</w:t>
      </w:r>
      <w:r>
        <w:rPr>
          <w:kern w:val="22"/>
          <w:lang w:val="fr-CA"/>
        </w:rPr>
        <w:t xml:space="preserve"> à la conservation et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utilisation durable de la diversité biologique, et les intégrer dans le choix des approches et des outils méthodologiques;</w:t>
      </w:r>
    </w:p>
    <w:p w14:paraId="647A4DE7" w14:textId="77777777" w:rsidR="00FF7D65" w:rsidRPr="0042731B" w:rsidRDefault="001A7EED" w:rsidP="001A7EED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kern w:val="22"/>
          <w:szCs w:val="22"/>
          <w:lang w:val="fr-CA"/>
        </w:rPr>
      </w:pPr>
      <w:r>
        <w:rPr>
          <w:kern w:val="22"/>
          <w:lang w:val="fr-CA"/>
        </w:rPr>
        <w:t>Utiliser des méthodes mixtes pour la recherche et les autres méthodologies pouvant fonctionner avec différents types de données, notamment la combinaison de données et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informations quantitatives et qualitatives</w:t>
      </w:r>
      <w:r w:rsidR="00FF7D65" w:rsidRPr="0042731B">
        <w:rPr>
          <w:kern w:val="22"/>
          <w:szCs w:val="22"/>
          <w:lang w:val="fr-CA"/>
        </w:rPr>
        <w:t>;</w:t>
      </w:r>
    </w:p>
    <w:p w14:paraId="430B92C6" w14:textId="77777777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Appliquer les approches, processus et outils utilisés sur plusieurs échelles, afin de saisir et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évaluer la situation locale tout en considérant les liens à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intérieur du paysage et avec les cadres de politique nationaux et infranationaux;</w:t>
      </w:r>
    </w:p>
    <w:p w14:paraId="2E0A9970" w14:textId="77777777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Mettre à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essai et peaufiner les approches méthodologiques au moyen de projets pilotes, en reconnaissant qu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il s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agit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un champ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activité en émergence et qu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elles doivent être développées à partir des enseignements tirés des expériences et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une diversité de contextes;</w:t>
      </w:r>
    </w:p>
    <w:p w14:paraId="67AD198E" w14:textId="18F64C32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Assurer la p</w:t>
      </w:r>
      <w:r w:rsidR="00A150CB">
        <w:rPr>
          <w:kern w:val="22"/>
          <w:lang w:val="fr-CA"/>
        </w:rPr>
        <w:t>articipation entière et effective</w:t>
      </w:r>
      <w:r>
        <w:rPr>
          <w:kern w:val="22"/>
          <w:lang w:val="fr-CA"/>
        </w:rPr>
        <w:t xml:space="preserve"> des peuples autochtones et des communautés locales tout au lo</w:t>
      </w:r>
      <w:r w:rsidR="00A150CB">
        <w:rPr>
          <w:kern w:val="22"/>
          <w:lang w:val="fr-CA"/>
        </w:rPr>
        <w:t>ng du processus d’élaboration</w:t>
      </w:r>
      <w:r>
        <w:rPr>
          <w:kern w:val="22"/>
          <w:lang w:val="fr-CA"/>
        </w:rPr>
        <w:t xml:space="preserve"> et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application des approches, en portant une attention particulière à la participation des femmes, des jeunes, des aînés et de tous les autres groupes qui forment la communauté;</w:t>
      </w:r>
    </w:p>
    <w:p w14:paraId="76BA3B71" w14:textId="77777777" w:rsidR="00FF7D65" w:rsidRPr="0042731B" w:rsidRDefault="001A7EED" w:rsidP="001A7EED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kern w:val="22"/>
          <w:szCs w:val="22"/>
          <w:lang w:val="fr-CA"/>
        </w:rPr>
      </w:pPr>
      <w:r>
        <w:rPr>
          <w:kern w:val="22"/>
          <w:lang w:val="fr-CA"/>
        </w:rPr>
        <w:t>Encourager les interactions intergénérationnelles pendant le processus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évaluation, en faisant participer les jeunes, les aînés et les autres groupes, afin de stimuler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apprentissage et de contribuer à la protection et à la promotion du transfert intergénérationnel des connaissances traditionnelles, des innovations et des pratiques</w:t>
      </w:r>
      <w:r w:rsidR="00FF7D65" w:rsidRPr="0042731B">
        <w:rPr>
          <w:kern w:val="22"/>
          <w:szCs w:val="22"/>
          <w:lang w:val="fr-CA"/>
        </w:rPr>
        <w:t>;</w:t>
      </w:r>
    </w:p>
    <w:p w14:paraId="61875C9A" w14:textId="3DE2442C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Inclure dans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évaluation l</w:t>
      </w:r>
      <w:r w:rsidR="00A83B56">
        <w:rPr>
          <w:kern w:val="22"/>
          <w:lang w:val="fr-CA"/>
        </w:rPr>
        <w:t>’</w:t>
      </w:r>
      <w:r w:rsidR="00A150CB">
        <w:rPr>
          <w:kern w:val="22"/>
          <w:lang w:val="fr-CA"/>
        </w:rPr>
        <w:t>analyse des rôles propres à chaque sexe</w:t>
      </w:r>
      <w:r>
        <w:rPr>
          <w:kern w:val="22"/>
          <w:lang w:val="fr-CA"/>
        </w:rPr>
        <w:t xml:space="preserve"> et découvrir des occasions et des conditions pour améliorer l</w:t>
      </w:r>
      <w:r w:rsidR="00A83B56">
        <w:rPr>
          <w:kern w:val="22"/>
          <w:lang w:val="fr-CA"/>
        </w:rPr>
        <w:t>’</w:t>
      </w:r>
      <w:r w:rsidR="00A150CB">
        <w:rPr>
          <w:kern w:val="22"/>
          <w:lang w:val="fr-CA"/>
        </w:rPr>
        <w:t>égalité</w:t>
      </w:r>
      <w:r>
        <w:rPr>
          <w:kern w:val="22"/>
          <w:lang w:val="fr-CA"/>
        </w:rPr>
        <w:t xml:space="preserve"> entre les sexes;</w:t>
      </w:r>
    </w:p>
    <w:p w14:paraId="20F87835" w14:textId="34D65738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Reconnaître que les mesures collectives sont liées à l</w:t>
      </w:r>
      <w:r w:rsidR="00A83B56">
        <w:rPr>
          <w:kern w:val="22"/>
          <w:lang w:val="fr-CA"/>
        </w:rPr>
        <w:t>’</w:t>
      </w:r>
      <w:r w:rsidR="00A150CB">
        <w:rPr>
          <w:kern w:val="22"/>
          <w:lang w:val="fr-CA"/>
        </w:rPr>
        <w:t>utilisation durable coutumière et</w:t>
      </w:r>
      <w:r>
        <w:rPr>
          <w:kern w:val="22"/>
          <w:lang w:val="fr-CA"/>
        </w:rPr>
        <w:t xml:space="preserve"> que le</w:t>
      </w:r>
      <w:r w:rsidR="00A150CB">
        <w:rPr>
          <w:kern w:val="22"/>
          <w:lang w:val="fr-CA"/>
        </w:rPr>
        <w:t>s résultats peuvent être vastes, englobant des éléments tels que les moyens de subsistance, la sécurité alimentaire</w:t>
      </w:r>
      <w:r>
        <w:rPr>
          <w:kern w:val="22"/>
          <w:lang w:val="fr-CA"/>
        </w:rPr>
        <w:t>, ainsi que le bien</w:t>
      </w:r>
      <w:r w:rsidR="00A83B56">
        <w:rPr>
          <w:kern w:val="22"/>
          <w:lang w:val="fr-CA"/>
        </w:rPr>
        <w:noBreakHyphen/>
      </w:r>
      <w:r>
        <w:rPr>
          <w:kern w:val="22"/>
          <w:lang w:val="fr-CA"/>
        </w:rPr>
        <w:t>être psychologique et physique;</w:t>
      </w:r>
    </w:p>
    <w:p w14:paraId="7728512F" w14:textId="405B9369" w:rsidR="001A7EED" w:rsidRPr="00F036BB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 w:rsidRPr="00F036BB">
        <w:rPr>
          <w:kern w:val="22"/>
          <w:lang w:val="fr-CA"/>
        </w:rPr>
        <w:lastRenderedPageBreak/>
        <w:t>Chercher à contribuer à la reconnaissance des droits, s</w:t>
      </w:r>
      <w:r>
        <w:rPr>
          <w:kern w:val="22"/>
          <w:lang w:val="fr-CA"/>
        </w:rPr>
        <w:t>urtout l</w:t>
      </w:r>
      <w:r w:rsidRPr="00F036BB">
        <w:rPr>
          <w:kern w:val="22"/>
          <w:lang w:val="fr-CA"/>
        </w:rPr>
        <w:t>e régime foncier</w:t>
      </w:r>
      <w:r w:rsidRPr="00132DF3">
        <w:rPr>
          <w:rStyle w:val="FootnoteReference"/>
          <w:rFonts w:eastAsiaTheme="majorEastAsia"/>
          <w:kern w:val="22"/>
        </w:rPr>
        <w:footnoteReference w:id="2"/>
      </w:r>
      <w:r w:rsidRPr="00F036BB">
        <w:rPr>
          <w:kern w:val="22"/>
          <w:lang w:val="fr-CA"/>
        </w:rPr>
        <w:t xml:space="preserve"> </w:t>
      </w:r>
      <w:r>
        <w:rPr>
          <w:kern w:val="22"/>
          <w:lang w:val="fr-CA"/>
        </w:rPr>
        <w:t>et l</w:t>
      </w:r>
      <w:r w:rsidR="00A83B56">
        <w:rPr>
          <w:kern w:val="22"/>
          <w:lang w:val="fr-CA"/>
        </w:rPr>
        <w:t>’</w:t>
      </w:r>
      <w:r w:rsidR="002958C1">
        <w:rPr>
          <w:kern w:val="22"/>
          <w:lang w:val="fr-CA"/>
        </w:rPr>
        <w:t>accès aux ressources</w:t>
      </w:r>
      <w:r>
        <w:rPr>
          <w:kern w:val="22"/>
          <w:lang w:val="fr-CA"/>
        </w:rPr>
        <w:t>,</w:t>
      </w:r>
      <w:r w:rsidRPr="00132DF3">
        <w:rPr>
          <w:rStyle w:val="FootnoteReference"/>
          <w:rFonts w:eastAsiaTheme="majorEastAsia"/>
          <w:kern w:val="22"/>
        </w:rPr>
        <w:footnoteReference w:id="3"/>
      </w:r>
      <w:r>
        <w:rPr>
          <w:kern w:val="22"/>
          <w:lang w:val="fr-CA"/>
        </w:rPr>
        <w:t xml:space="preserve"> et leur influence sur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efficacité des mesures collectives, grâce à la responsabilisation communautaire pour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avanc</w:t>
      </w:r>
      <w:r w:rsidR="00B651DA">
        <w:rPr>
          <w:kern w:val="22"/>
          <w:lang w:val="fr-CA"/>
        </w:rPr>
        <w:t>ement de la sécurité des droits</w:t>
      </w:r>
      <w:r>
        <w:rPr>
          <w:kern w:val="22"/>
          <w:lang w:val="fr-CA"/>
        </w:rPr>
        <w:t xml:space="preserve"> fonciers et de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accès;</w:t>
      </w:r>
    </w:p>
    <w:p w14:paraId="60BF604C" w14:textId="77777777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Inclure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autres éléments pertinents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évaluations de la gouvernance, spécifiquement le rôle, les caractéristiques et la vitalité des systèmes de gouvernance coutumière</w:t>
      </w:r>
      <w:r w:rsidRPr="001C5D05">
        <w:rPr>
          <w:kern w:val="22"/>
          <w:lang w:val="fr-CA"/>
        </w:rPr>
        <w:t>;</w:t>
      </w:r>
    </w:p>
    <w:p w14:paraId="28DE36ED" w14:textId="1BA3EE67" w:rsidR="00FF7D65" w:rsidRPr="0042731B" w:rsidRDefault="001A7EED" w:rsidP="001A7EED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kern w:val="22"/>
          <w:szCs w:val="22"/>
          <w:lang w:val="fr-CA"/>
        </w:rPr>
      </w:pPr>
      <w:r>
        <w:rPr>
          <w:kern w:val="22"/>
          <w:lang w:val="fr-CA"/>
        </w:rPr>
        <w:t>Inclure dans l</w:t>
      </w:r>
      <w:r w:rsidR="00B651DA">
        <w:rPr>
          <w:kern w:val="22"/>
          <w:lang w:val="fr-CA"/>
        </w:rPr>
        <w:t xml:space="preserve">es </w:t>
      </w:r>
      <w:r>
        <w:rPr>
          <w:kern w:val="22"/>
          <w:lang w:val="fr-CA"/>
        </w:rPr>
        <w:t>évaluation</w:t>
      </w:r>
      <w:r w:rsidR="00B651DA">
        <w:rPr>
          <w:kern w:val="22"/>
          <w:lang w:val="fr-CA"/>
        </w:rPr>
        <w:t>s</w:t>
      </w:r>
      <w:r>
        <w:rPr>
          <w:kern w:val="22"/>
          <w:lang w:val="fr-CA"/>
        </w:rPr>
        <w:t xml:space="preserve"> le repérage des conflits réels ou potentiels influençant les mesures collectives, utiliser le processus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 xml:space="preserve">évaluation pour améliorer le dialogue entre les groupes pouvant avoir des intérêts opposés, et </w:t>
      </w:r>
      <w:r w:rsidR="00B651DA">
        <w:rPr>
          <w:kern w:val="22"/>
          <w:lang w:val="fr-CA"/>
        </w:rPr>
        <w:t>chercher d’autres moyens de</w:t>
      </w:r>
      <w:r>
        <w:rPr>
          <w:kern w:val="22"/>
          <w:lang w:val="fr-CA"/>
        </w:rPr>
        <w:t xml:space="preserve"> régler les différends par le dialogu</w:t>
      </w:r>
      <w:r w:rsidR="00B651DA">
        <w:rPr>
          <w:kern w:val="22"/>
          <w:lang w:val="fr-CA"/>
        </w:rPr>
        <w:t>e et la coopération, notamment l</w:t>
      </w:r>
      <w:r>
        <w:rPr>
          <w:kern w:val="22"/>
          <w:lang w:val="fr-CA"/>
        </w:rPr>
        <w:t>es mécanismes de règlement des différends convenables sur le plan culturel</w:t>
      </w:r>
      <w:r w:rsidR="00FF7D65" w:rsidRPr="0042731B">
        <w:rPr>
          <w:kern w:val="22"/>
          <w:szCs w:val="22"/>
          <w:lang w:val="fr-CA"/>
        </w:rPr>
        <w:t>;</w:t>
      </w:r>
    </w:p>
    <w:p w14:paraId="6FEDEA7A" w14:textId="683E2924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 xml:space="preserve">Tenir </w:t>
      </w:r>
      <w:r w:rsidR="00B651DA">
        <w:rPr>
          <w:kern w:val="22"/>
          <w:lang w:val="fr-CA"/>
        </w:rPr>
        <w:t>compte des évaluations locales</w:t>
      </w:r>
      <w:r>
        <w:rPr>
          <w:kern w:val="22"/>
          <w:lang w:val="fr-CA"/>
        </w:rPr>
        <w:t xml:space="preserve"> qui mettent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accent sur les terres et les ressources appartenant aux peuples autochtones et aux communautés locales, ou occupées ou utilisées par ceux</w:t>
      </w:r>
      <w:r w:rsidR="00A83B56">
        <w:rPr>
          <w:kern w:val="22"/>
          <w:lang w:val="fr-CA"/>
        </w:rPr>
        <w:noBreakHyphen/>
      </w:r>
      <w:r w:rsidR="00B651DA">
        <w:rPr>
          <w:kern w:val="22"/>
          <w:lang w:val="fr-CA"/>
        </w:rPr>
        <w:t>ci, et sur d</w:t>
      </w:r>
      <w:r>
        <w:rPr>
          <w:kern w:val="22"/>
          <w:lang w:val="fr-CA"/>
        </w:rPr>
        <w:t>es éléments précis de la diversité biologique tels que les espèces présentes dans tous les habitats et qui font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objet de mesures collectives;</w:t>
      </w:r>
    </w:p>
    <w:p w14:paraId="154935FF" w14:textId="3A0F9868" w:rsidR="00FF7D65" w:rsidRPr="0042731B" w:rsidRDefault="001A7EED" w:rsidP="001A7EED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kern w:val="22"/>
          <w:szCs w:val="22"/>
          <w:lang w:val="fr-CA"/>
        </w:rPr>
      </w:pPr>
      <w:r>
        <w:rPr>
          <w:kern w:val="22"/>
          <w:lang w:val="fr-CA"/>
        </w:rPr>
        <w:t>Envisager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utilisation de différentes formes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 xml:space="preserve">analyse </w:t>
      </w:r>
      <w:r>
        <w:rPr>
          <w:noProof/>
          <w:kern w:val="22"/>
          <w:lang w:val="fr-CA"/>
        </w:rPr>
        <w:t>géospatiale pour</w:t>
      </w:r>
      <w:r>
        <w:rPr>
          <w:kern w:val="22"/>
          <w:lang w:val="fr-CA"/>
        </w:rPr>
        <w:t xml:space="preserve"> l</w:t>
      </w:r>
      <w:r w:rsidR="00A83B56">
        <w:rPr>
          <w:kern w:val="22"/>
          <w:lang w:val="fr-CA"/>
        </w:rPr>
        <w:t>’</w:t>
      </w:r>
      <w:r w:rsidR="00F7081F">
        <w:rPr>
          <w:kern w:val="22"/>
          <w:lang w:val="fr-CA"/>
        </w:rPr>
        <w:t>évaluation par zone</w:t>
      </w:r>
      <w:r>
        <w:rPr>
          <w:kern w:val="22"/>
          <w:lang w:val="fr-CA"/>
        </w:rPr>
        <w:t>, de manière à combiner les outils technologiques et les connaissances traditionnelles, et tenter de les rendre accessibles aux communautés</w:t>
      </w:r>
      <w:r w:rsidR="00FF7D65" w:rsidRPr="0042731B">
        <w:rPr>
          <w:kern w:val="22"/>
          <w:szCs w:val="22"/>
          <w:lang w:val="fr-CA"/>
        </w:rPr>
        <w:t>;</w:t>
      </w:r>
    </w:p>
    <w:p w14:paraId="34A92BDD" w14:textId="0040E092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Avancer le développement de séries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indicateurs et de paramètres solides pour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évaluation de mesures collectives qui combinent différents types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indicateurs qualitatifs et quantitatifs, de processus et résultats, simples et globaux, etc., et comprennent d</w:t>
      </w:r>
      <w:r w:rsidR="002958C1">
        <w:rPr>
          <w:kern w:val="22"/>
          <w:lang w:val="fr-CA"/>
        </w:rPr>
        <w:t>es</w:t>
      </w:r>
      <w:r w:rsidR="00F7081F">
        <w:rPr>
          <w:kern w:val="22"/>
          <w:lang w:val="fr-CA"/>
        </w:rPr>
        <w:t xml:space="preserve"> indicateurs culturels qui reflètent les </w:t>
      </w:r>
      <w:r>
        <w:rPr>
          <w:kern w:val="22"/>
          <w:lang w:val="fr-CA"/>
        </w:rPr>
        <w:t>systè</w:t>
      </w:r>
      <w:r w:rsidR="00F7081F">
        <w:rPr>
          <w:kern w:val="22"/>
          <w:lang w:val="fr-CA"/>
        </w:rPr>
        <w:t>mes de valeur des communautés et les</w:t>
      </w:r>
      <w:r>
        <w:rPr>
          <w:kern w:val="22"/>
          <w:lang w:val="fr-CA"/>
        </w:rPr>
        <w:t xml:space="preserve"> </w:t>
      </w:r>
      <w:r w:rsidR="00F7081F">
        <w:rPr>
          <w:kern w:val="22"/>
          <w:lang w:val="fr-CA"/>
        </w:rPr>
        <w:t xml:space="preserve">particularités des contextes, en notant </w:t>
      </w:r>
      <w:r>
        <w:rPr>
          <w:kern w:val="22"/>
          <w:lang w:val="fr-CA"/>
        </w:rPr>
        <w:t>également que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utilisation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indicate</w:t>
      </w:r>
      <w:r w:rsidR="00F7081F">
        <w:rPr>
          <w:kern w:val="22"/>
          <w:lang w:val="fr-CA"/>
        </w:rPr>
        <w:t>urs cohérents au fil du temps</w:t>
      </w:r>
      <w:r w:rsidR="007C3BA7">
        <w:rPr>
          <w:kern w:val="22"/>
          <w:lang w:val="fr-CA"/>
        </w:rPr>
        <w:t xml:space="preserve"> </w:t>
      </w:r>
      <w:r>
        <w:rPr>
          <w:kern w:val="22"/>
          <w:lang w:val="fr-CA"/>
        </w:rPr>
        <w:t>favorise les comparaisons temporelles et que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établissement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une valeur de référence permet d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effectuer une meilleure évaluation des changements et des tendances;</w:t>
      </w:r>
    </w:p>
    <w:p w14:paraId="590487EA" w14:textId="77777777" w:rsidR="001A7EED" w:rsidRPr="001C5D05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>Intégrer des approches pour analyser 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état et les tendances du changement dans les évaluations, ainsi qu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une compréhension des moteurs de changements et des conditions favorables à des résultats positifs;</w:t>
      </w:r>
    </w:p>
    <w:p w14:paraId="1DDEF28D" w14:textId="77777777" w:rsidR="001A7EED" w:rsidRPr="00DA185D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>
        <w:rPr>
          <w:kern w:val="22"/>
          <w:lang w:val="fr-CA"/>
        </w:rPr>
        <w:t xml:space="preserve">Avancer les travaux sur les méthodologies </w:t>
      </w:r>
      <w:r w:rsidRPr="00DA185D">
        <w:rPr>
          <w:kern w:val="22"/>
          <w:lang w:val="fr-CA"/>
        </w:rPr>
        <w:t>d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 xml:space="preserve">établissement de la valeur pertinentes et applicables aux contextes, en tenant compte de </w:t>
      </w:r>
      <w:r>
        <w:rPr>
          <w:kern w:val="22"/>
          <w:lang w:val="fr-CA"/>
        </w:rPr>
        <w:t>l</w:t>
      </w:r>
      <w:r w:rsidR="00A83B56">
        <w:rPr>
          <w:kern w:val="22"/>
          <w:lang w:val="fr-CA"/>
        </w:rPr>
        <w:t>’</w:t>
      </w:r>
      <w:r>
        <w:rPr>
          <w:kern w:val="22"/>
          <w:lang w:val="fr-CA"/>
        </w:rPr>
        <w:t>ensemble</w:t>
      </w:r>
      <w:r w:rsidRPr="00DA185D">
        <w:rPr>
          <w:kern w:val="22"/>
          <w:lang w:val="fr-CA"/>
        </w:rPr>
        <w:t xml:space="preserve"> des valeurs de la diversité biologique pour les communautés et </w:t>
      </w:r>
      <w:r>
        <w:rPr>
          <w:kern w:val="22"/>
          <w:lang w:val="fr-CA"/>
        </w:rPr>
        <w:t>leurs mesures collectives, et utiliser l</w:t>
      </w:r>
      <w:r w:rsidRPr="00DA185D">
        <w:rPr>
          <w:kern w:val="22"/>
          <w:lang w:val="fr-CA"/>
        </w:rPr>
        <w:t>es résultats de l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 xml:space="preserve">établissement de la valeur pour </w:t>
      </w:r>
      <w:r w:rsidRPr="00DA185D">
        <w:rPr>
          <w:noProof/>
          <w:kern w:val="22"/>
          <w:lang w:val="fr-CA"/>
        </w:rPr>
        <w:t>établir le bien</w:t>
      </w:r>
      <w:r w:rsidR="00A83B56">
        <w:rPr>
          <w:noProof/>
          <w:kern w:val="22"/>
          <w:lang w:val="fr-CA"/>
        </w:rPr>
        <w:noBreakHyphen/>
      </w:r>
      <w:r w:rsidRPr="00DA185D">
        <w:rPr>
          <w:noProof/>
          <w:kern w:val="22"/>
          <w:lang w:val="fr-CA"/>
        </w:rPr>
        <w:t>fondé d</w:t>
      </w:r>
      <w:r w:rsidR="00A83B56">
        <w:rPr>
          <w:noProof/>
          <w:kern w:val="22"/>
          <w:lang w:val="fr-CA"/>
        </w:rPr>
        <w:t>’</w:t>
      </w:r>
      <w:r w:rsidRPr="00DA185D">
        <w:rPr>
          <w:noProof/>
          <w:kern w:val="22"/>
          <w:lang w:val="fr-CA"/>
        </w:rPr>
        <w:t>un respect</w:t>
      </w:r>
      <w:r w:rsidRPr="00DA185D">
        <w:rPr>
          <w:kern w:val="22"/>
          <w:lang w:val="fr-CA"/>
        </w:rPr>
        <w:t>, d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>une reconnaissance et d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>un appui accrus aux mesures collectives</w:t>
      </w:r>
      <w:r>
        <w:rPr>
          <w:kern w:val="22"/>
          <w:lang w:val="fr-CA"/>
        </w:rPr>
        <w:t>;</w:t>
      </w:r>
    </w:p>
    <w:p w14:paraId="0D0BDD33" w14:textId="77777777" w:rsidR="001A7EED" w:rsidRPr="00DA185D" w:rsidRDefault="001A7EED" w:rsidP="001A7EED">
      <w:pPr>
        <w:pStyle w:val="Para1"/>
        <w:numPr>
          <w:ilvl w:val="1"/>
          <w:numId w:val="2"/>
        </w:numPr>
        <w:tabs>
          <w:tab w:val="clear" w:pos="1440"/>
        </w:tabs>
        <w:spacing w:before="0"/>
        <w:rPr>
          <w:kern w:val="22"/>
          <w:lang w:val="fr-CA"/>
        </w:rPr>
      </w:pPr>
      <w:r w:rsidRPr="00DA185D">
        <w:rPr>
          <w:kern w:val="22"/>
          <w:lang w:val="fr-CA"/>
        </w:rPr>
        <w:t>Envisager d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>inclure dans les évaluations une analyse des forces et des menaces dans les contextes précis, dans le but d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>améliorer la compréhension des facteurs et des conditions à renforcer ou exigeant un appui supplémentaire</w:t>
      </w:r>
      <w:r>
        <w:rPr>
          <w:kern w:val="22"/>
          <w:lang w:val="fr-CA"/>
        </w:rPr>
        <w:t>;</w:t>
      </w:r>
    </w:p>
    <w:p w14:paraId="1B319611" w14:textId="77777777" w:rsidR="00FF7D65" w:rsidRPr="0042731B" w:rsidRDefault="001A7EED" w:rsidP="001A7EED">
      <w:pPr>
        <w:pStyle w:val="Para1"/>
        <w:numPr>
          <w:ilvl w:val="1"/>
          <w:numId w:val="2"/>
        </w:numPr>
        <w:suppressLineNumbers/>
        <w:tabs>
          <w:tab w:val="clear" w:pos="144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rPr>
          <w:kern w:val="22"/>
          <w:szCs w:val="22"/>
          <w:lang w:val="fr-CA"/>
        </w:rPr>
      </w:pPr>
      <w:r w:rsidRPr="00DA185D">
        <w:rPr>
          <w:kern w:val="22"/>
          <w:lang w:val="fr-CA"/>
        </w:rPr>
        <w:t>Encourager la collaboration, l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>échange, l</w:t>
      </w:r>
      <w:r w:rsidR="00A83B56">
        <w:rPr>
          <w:kern w:val="22"/>
          <w:lang w:val="fr-CA"/>
        </w:rPr>
        <w:t>’</w:t>
      </w:r>
      <w:r w:rsidRPr="00DA185D">
        <w:rPr>
          <w:kern w:val="22"/>
          <w:lang w:val="fr-CA"/>
        </w:rPr>
        <w:t xml:space="preserve">apprentissage croisé, </w:t>
      </w:r>
      <w:r>
        <w:rPr>
          <w:kern w:val="22"/>
          <w:lang w:val="fr-CA"/>
        </w:rPr>
        <w:t xml:space="preserve">et </w:t>
      </w:r>
      <w:r w:rsidRPr="00DA185D">
        <w:rPr>
          <w:kern w:val="22"/>
          <w:lang w:val="fr-CA"/>
        </w:rPr>
        <w:t>le réseautage entre les différentes approches, et rechercher de meilleures synergies et des résultats convergents</w:t>
      </w:r>
      <w:r w:rsidR="00FF7D65" w:rsidRPr="0042731B">
        <w:rPr>
          <w:kern w:val="22"/>
          <w:szCs w:val="22"/>
          <w:lang w:val="fr-CA"/>
        </w:rPr>
        <w:t>.</w:t>
      </w:r>
    </w:p>
    <w:p w14:paraId="5856C7EA" w14:textId="77777777" w:rsidR="00FF7D65" w:rsidRPr="0042731B" w:rsidRDefault="00FF7D65" w:rsidP="00FF7D65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iCs/>
          <w:snapToGrid w:val="0"/>
          <w:kern w:val="22"/>
          <w:szCs w:val="22"/>
          <w:lang w:val="fr-CA"/>
        </w:rPr>
      </w:pPr>
      <w:r w:rsidRPr="0042731B">
        <w:rPr>
          <w:iCs/>
          <w:snapToGrid w:val="0"/>
          <w:kern w:val="22"/>
          <w:szCs w:val="22"/>
          <w:lang w:val="fr-CA"/>
        </w:rPr>
        <w:t>__________</w:t>
      </w:r>
    </w:p>
    <w:p w14:paraId="14404FA0" w14:textId="77777777" w:rsidR="00C9161D" w:rsidRPr="0042731B" w:rsidRDefault="00C9161D" w:rsidP="00720F70">
      <w:pPr>
        <w:rPr>
          <w:lang w:val="fr-CA"/>
        </w:rPr>
      </w:pPr>
    </w:p>
    <w:p w14:paraId="023B6B05" w14:textId="77777777" w:rsidR="00B3369F" w:rsidRPr="0042731B" w:rsidRDefault="00B3369F" w:rsidP="00C9161D">
      <w:pPr>
        <w:rPr>
          <w:lang w:val="fr-CA"/>
        </w:rPr>
      </w:pPr>
    </w:p>
    <w:sectPr w:rsidR="00B3369F" w:rsidRPr="0042731B" w:rsidSect="009C200D">
      <w:headerReference w:type="even" r:id="rId13"/>
      <w:headerReference w:type="default" r:id="rId14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84CDA" w14:textId="77777777" w:rsidR="00794EDE" w:rsidRDefault="00794EDE" w:rsidP="00CF1848">
      <w:r>
        <w:separator/>
      </w:r>
    </w:p>
  </w:endnote>
  <w:endnote w:type="continuationSeparator" w:id="0">
    <w:p w14:paraId="34E991C1" w14:textId="77777777" w:rsidR="00794EDE" w:rsidRDefault="00794EDE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4E63E" w14:textId="77777777" w:rsidR="00794EDE" w:rsidRDefault="00794EDE" w:rsidP="00CF1848">
      <w:r>
        <w:separator/>
      </w:r>
    </w:p>
  </w:footnote>
  <w:footnote w:type="continuationSeparator" w:id="0">
    <w:p w14:paraId="414B6446" w14:textId="77777777" w:rsidR="00794EDE" w:rsidRDefault="00794EDE" w:rsidP="00CF1848">
      <w:r>
        <w:continuationSeparator/>
      </w:r>
    </w:p>
  </w:footnote>
  <w:footnote w:id="1">
    <w:p w14:paraId="5AC56AF0" w14:textId="77777777" w:rsidR="00592B5E" w:rsidRPr="00592B5E" w:rsidRDefault="00592B5E" w:rsidP="00592B5E">
      <w:pPr>
        <w:pStyle w:val="FootnoteText"/>
        <w:kinsoku w:val="0"/>
        <w:overflowPunct w:val="0"/>
        <w:autoSpaceDE w:val="0"/>
        <w:autoSpaceDN w:val="0"/>
        <w:ind w:firstLine="0"/>
        <w:jc w:val="left"/>
        <w:rPr>
          <w:snapToGrid w:val="0"/>
          <w:kern w:val="18"/>
          <w:szCs w:val="18"/>
          <w:lang w:val="fr-CA"/>
        </w:rPr>
      </w:pPr>
      <w:r w:rsidRPr="00592B5E">
        <w:rPr>
          <w:rStyle w:val="FootnoteReference"/>
          <w:snapToGrid w:val="0"/>
          <w:kern w:val="18"/>
          <w:sz w:val="18"/>
          <w:szCs w:val="18"/>
          <w:lang w:val="fr-CA"/>
        </w:rPr>
        <w:footnoteRef/>
      </w:r>
      <w:r w:rsidRPr="00592B5E">
        <w:rPr>
          <w:snapToGrid w:val="0"/>
          <w:kern w:val="18"/>
          <w:szCs w:val="18"/>
          <w:lang w:val="fr-CA"/>
        </w:rPr>
        <w:t xml:space="preserve"> Décision X/2, annexe.</w:t>
      </w:r>
    </w:p>
  </w:footnote>
  <w:footnote w:id="2">
    <w:p w14:paraId="62A44CBB" w14:textId="77777777" w:rsidR="001A7EED" w:rsidRPr="00592B5E" w:rsidRDefault="001A7EED" w:rsidP="001A7EED">
      <w:pPr>
        <w:pStyle w:val="NormalWeb"/>
        <w:kinsoku w:val="0"/>
        <w:overflowPunct w:val="0"/>
        <w:spacing w:before="0" w:beforeAutospacing="0" w:after="60" w:afterAutospacing="0"/>
        <w:textAlignment w:val="baseline"/>
        <w:rPr>
          <w:rFonts w:ascii="Times New Roman" w:hAnsi="Times New Roman"/>
          <w:snapToGrid w:val="0"/>
          <w:kern w:val="18"/>
          <w:lang w:val="fr-CA"/>
        </w:rPr>
      </w:pPr>
      <w:r w:rsidRPr="00592B5E">
        <w:rPr>
          <w:rStyle w:val="FootnoteReference"/>
          <w:rFonts w:ascii="Times New Roman" w:hAnsi="Times New Roman"/>
          <w:snapToGrid w:val="0"/>
          <w:color w:val="auto"/>
          <w:kern w:val="18"/>
          <w:sz w:val="18"/>
          <w:lang w:val="fr-CA"/>
        </w:rPr>
        <w:footnoteRef/>
      </w:r>
      <w:r w:rsidRPr="00592B5E">
        <w:rPr>
          <w:rFonts w:ascii="Times New Roman" w:hAnsi="Times New Roman"/>
          <w:snapToGrid w:val="0"/>
          <w:color w:val="auto"/>
          <w:kern w:val="18"/>
          <w:lang w:val="fr-CA"/>
        </w:rPr>
        <w:t xml:space="preserve"> La Conférence des Parties a adopté, dans sa décision X/43, « </w:t>
      </w:r>
      <w:r w:rsidRPr="00592B5E">
        <w:rPr>
          <w:rFonts w:ascii="Times New Roman" w:hAnsi="Times New Roman"/>
          <w:noProof/>
          <w:szCs w:val="22"/>
          <w:lang w:val="fr-CA"/>
        </w:rPr>
        <w:t>l</w:t>
      </w:r>
      <w:r w:rsidR="00A83B56" w:rsidRPr="00592B5E">
        <w:rPr>
          <w:rFonts w:ascii="Times New Roman" w:hAnsi="Times New Roman"/>
          <w:noProof/>
          <w:szCs w:val="22"/>
          <w:lang w:val="fr-CA"/>
        </w:rPr>
        <w:t>’</w:t>
      </w:r>
      <w:r w:rsidRPr="00592B5E">
        <w:rPr>
          <w:rFonts w:ascii="Times New Roman" w:hAnsi="Times New Roman"/>
          <w:noProof/>
          <w:szCs w:val="22"/>
          <w:lang w:val="fr-CA"/>
        </w:rPr>
        <w:t>état et les tendances des changements dans l</w:t>
      </w:r>
      <w:r w:rsidR="00A83B56" w:rsidRPr="00592B5E">
        <w:rPr>
          <w:rFonts w:ascii="Times New Roman" w:hAnsi="Times New Roman"/>
          <w:noProof/>
          <w:szCs w:val="22"/>
          <w:lang w:val="fr-CA"/>
        </w:rPr>
        <w:t>’</w:t>
      </w:r>
      <w:r w:rsidRPr="00592B5E">
        <w:rPr>
          <w:rFonts w:ascii="Times New Roman" w:hAnsi="Times New Roman"/>
          <w:noProof/>
          <w:szCs w:val="22"/>
          <w:lang w:val="fr-CA"/>
        </w:rPr>
        <w:t>affectation des terres et le statut foncier dans les territoires traditionnels des communautés autochtones et locales » comme un des quatre indicateurs des connaissances traditionnelles au titre de la Convention sur la diversité biologique. « L</w:t>
      </w:r>
      <w:r w:rsidR="00A83B56" w:rsidRPr="00592B5E">
        <w:rPr>
          <w:rFonts w:ascii="Times New Roman" w:hAnsi="Times New Roman"/>
          <w:noProof/>
          <w:szCs w:val="22"/>
          <w:lang w:val="fr-CA"/>
        </w:rPr>
        <w:t>’</w:t>
      </w:r>
      <w:r w:rsidRPr="00592B5E">
        <w:rPr>
          <w:rFonts w:ascii="Times New Roman" w:hAnsi="Times New Roman"/>
          <w:noProof/>
          <w:szCs w:val="22"/>
          <w:lang w:val="fr-CA"/>
        </w:rPr>
        <w:t>affectation des terres » situées sur les territoires traditionnels des peuples autochtones et des communautés locales, peut inclure les terres et les eaux</w:t>
      </w:r>
      <w:r w:rsidRPr="00592B5E">
        <w:rPr>
          <w:rFonts w:ascii="Times New Roman" w:hAnsi="Times New Roman"/>
          <w:snapToGrid w:val="0"/>
          <w:color w:val="auto"/>
          <w:kern w:val="18"/>
          <w:lang w:val="fr-CA"/>
        </w:rPr>
        <w:t>.</w:t>
      </w:r>
    </w:p>
  </w:footnote>
  <w:footnote w:id="3">
    <w:p w14:paraId="54209014" w14:textId="77777777" w:rsidR="001A7EED" w:rsidRPr="00592B5E" w:rsidRDefault="001A7EED" w:rsidP="001A7EED">
      <w:pPr>
        <w:pStyle w:val="FootnoteText"/>
        <w:keepLines w:val="0"/>
        <w:kinsoku w:val="0"/>
        <w:overflowPunct w:val="0"/>
        <w:ind w:firstLine="0"/>
        <w:jc w:val="left"/>
        <w:rPr>
          <w:snapToGrid w:val="0"/>
          <w:kern w:val="18"/>
          <w:szCs w:val="18"/>
          <w:lang w:val="fr-CA"/>
        </w:rPr>
      </w:pPr>
      <w:r w:rsidRPr="00592B5E">
        <w:rPr>
          <w:rStyle w:val="FootnoteReference"/>
          <w:rFonts w:eastAsiaTheme="majorEastAsia"/>
          <w:snapToGrid w:val="0"/>
          <w:kern w:val="18"/>
          <w:sz w:val="18"/>
          <w:szCs w:val="18"/>
          <w:lang w:val="fr-CA"/>
        </w:rPr>
        <w:footnoteRef/>
      </w:r>
      <w:r w:rsidRPr="00592B5E">
        <w:rPr>
          <w:snapToGrid w:val="0"/>
          <w:kern w:val="18"/>
          <w:szCs w:val="18"/>
          <w:lang w:val="fr-CA"/>
        </w:rPr>
        <w:t xml:space="preserve"> La Conférence des Parties a adopté, à l</w:t>
      </w:r>
      <w:r w:rsidR="00A83B56" w:rsidRPr="00592B5E">
        <w:rPr>
          <w:snapToGrid w:val="0"/>
          <w:kern w:val="18"/>
          <w:szCs w:val="18"/>
          <w:lang w:val="fr-CA"/>
        </w:rPr>
        <w:t>’</w:t>
      </w:r>
      <w:r w:rsidRPr="00592B5E">
        <w:rPr>
          <w:snapToGrid w:val="0"/>
          <w:kern w:val="18"/>
          <w:szCs w:val="18"/>
          <w:lang w:val="fr-CA"/>
        </w:rPr>
        <w:t>annexe à la décision XII/12 B, un plan d</w:t>
      </w:r>
      <w:r w:rsidR="00A83B56" w:rsidRPr="00592B5E">
        <w:rPr>
          <w:snapToGrid w:val="0"/>
          <w:kern w:val="18"/>
          <w:szCs w:val="18"/>
          <w:lang w:val="fr-CA"/>
        </w:rPr>
        <w:t>’</w:t>
      </w:r>
      <w:r w:rsidRPr="00592B5E">
        <w:rPr>
          <w:snapToGrid w:val="0"/>
          <w:kern w:val="18"/>
          <w:szCs w:val="18"/>
          <w:lang w:val="fr-CA"/>
        </w:rPr>
        <w:t>action global pour l</w:t>
      </w:r>
      <w:r w:rsidR="00A83B56" w:rsidRPr="00592B5E">
        <w:rPr>
          <w:snapToGrid w:val="0"/>
          <w:kern w:val="18"/>
          <w:szCs w:val="18"/>
          <w:lang w:val="fr-CA"/>
        </w:rPr>
        <w:t>’</w:t>
      </w:r>
      <w:r w:rsidRPr="00592B5E">
        <w:rPr>
          <w:snapToGrid w:val="0"/>
          <w:kern w:val="18"/>
          <w:szCs w:val="18"/>
          <w:lang w:val="fr-CA"/>
        </w:rPr>
        <w:t xml:space="preserve">utilisation durable coutumière de la diversité biologique.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B8A54DC" w14:textId="748345E6" w:rsidR="00534681" w:rsidRPr="0014445B" w:rsidRDefault="009078FD" w:rsidP="00534681">
        <w:pPr>
          <w:pStyle w:val="Header"/>
          <w:rPr>
            <w:lang w:val="fr-FR"/>
          </w:rPr>
        </w:pPr>
        <w:r>
          <w:rPr>
            <w:lang w:val="fr-FR"/>
          </w:rPr>
          <w:t>CBD/SBI/REC/2/18</w:t>
        </w:r>
      </w:p>
    </w:sdtContent>
  </w:sdt>
  <w:p w14:paraId="34E67E26" w14:textId="77777777" w:rsidR="00534681" w:rsidRPr="0014445B" w:rsidRDefault="00534681" w:rsidP="00534681">
    <w:pPr>
      <w:pStyle w:val="Header"/>
      <w:rPr>
        <w:lang w:val="fr-FR"/>
      </w:rPr>
    </w:pPr>
    <w:r w:rsidRPr="0014445B">
      <w:rPr>
        <w:lang w:val="fr-FR"/>
      </w:rPr>
      <w:t xml:space="preserve">Page </w:t>
    </w:r>
    <w:r w:rsidR="00E70026">
      <w:fldChar w:fldCharType="begin"/>
    </w:r>
    <w:r w:rsidRPr="0014445B">
      <w:rPr>
        <w:lang w:val="fr-FR"/>
      </w:rPr>
      <w:instrText xml:space="preserve"> PAGE   \* MERGEFORMAT </w:instrText>
    </w:r>
    <w:r w:rsidR="00E70026">
      <w:fldChar w:fldCharType="separate"/>
    </w:r>
    <w:r w:rsidR="006F6A08">
      <w:rPr>
        <w:noProof/>
        <w:lang w:val="fr-FR"/>
      </w:rPr>
      <w:t>2</w:t>
    </w:r>
    <w:r w:rsidR="00E70026">
      <w:rPr>
        <w:noProof/>
      </w:rPr>
      <w:fldChar w:fldCharType="end"/>
    </w:r>
  </w:p>
  <w:p w14:paraId="098245F5" w14:textId="77777777" w:rsidR="00534681" w:rsidRPr="0014445B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39FF17A" w14:textId="444550F7" w:rsidR="009505C9" w:rsidRPr="0014445B" w:rsidRDefault="009078FD" w:rsidP="009505C9">
        <w:pPr>
          <w:pStyle w:val="Header"/>
          <w:jc w:val="right"/>
          <w:rPr>
            <w:lang w:val="fr-FR"/>
          </w:rPr>
        </w:pPr>
        <w:r>
          <w:t>CBD/SBI/REC/2/18</w:t>
        </w:r>
      </w:p>
    </w:sdtContent>
  </w:sdt>
  <w:p w14:paraId="59FFDC31" w14:textId="77777777" w:rsidR="009505C9" w:rsidRPr="0014445B" w:rsidRDefault="009505C9" w:rsidP="009505C9">
    <w:pPr>
      <w:pStyle w:val="Header"/>
      <w:jc w:val="right"/>
      <w:rPr>
        <w:lang w:val="fr-FR"/>
      </w:rPr>
    </w:pPr>
    <w:r w:rsidRPr="0014445B">
      <w:rPr>
        <w:lang w:val="fr-FR"/>
      </w:rPr>
      <w:t xml:space="preserve">Page </w:t>
    </w:r>
    <w:r w:rsidR="00E70026">
      <w:fldChar w:fldCharType="begin"/>
    </w:r>
    <w:r w:rsidRPr="0014445B">
      <w:rPr>
        <w:lang w:val="fr-FR"/>
      </w:rPr>
      <w:instrText xml:space="preserve"> PAGE   \* MERGEFORMAT </w:instrText>
    </w:r>
    <w:r w:rsidR="00E70026">
      <w:fldChar w:fldCharType="separate"/>
    </w:r>
    <w:r w:rsidR="006F6A08">
      <w:rPr>
        <w:noProof/>
        <w:lang w:val="fr-FR"/>
      </w:rPr>
      <w:t>3</w:t>
    </w:r>
    <w:r w:rsidR="00E70026">
      <w:rPr>
        <w:noProof/>
      </w:rPr>
      <w:fldChar w:fldCharType="end"/>
    </w:r>
  </w:p>
  <w:p w14:paraId="47AF1BD7" w14:textId="77777777" w:rsidR="009505C9" w:rsidRPr="0014445B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0442B4"/>
    <w:multiLevelType w:val="multilevel"/>
    <w:tmpl w:val="11927320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1D"/>
    <w:rsid w:val="00021A6B"/>
    <w:rsid w:val="000E673A"/>
    <w:rsid w:val="000F1C87"/>
    <w:rsid w:val="000F74F5"/>
    <w:rsid w:val="00105372"/>
    <w:rsid w:val="0011426F"/>
    <w:rsid w:val="00122A63"/>
    <w:rsid w:val="00123104"/>
    <w:rsid w:val="00131E7A"/>
    <w:rsid w:val="0014445B"/>
    <w:rsid w:val="00172AF6"/>
    <w:rsid w:val="00176CEE"/>
    <w:rsid w:val="001859E1"/>
    <w:rsid w:val="001A7EED"/>
    <w:rsid w:val="001B2DCC"/>
    <w:rsid w:val="001E2A30"/>
    <w:rsid w:val="001F02E9"/>
    <w:rsid w:val="002333EC"/>
    <w:rsid w:val="002478A6"/>
    <w:rsid w:val="002958C1"/>
    <w:rsid w:val="002A7DEB"/>
    <w:rsid w:val="00372F74"/>
    <w:rsid w:val="003E3E8A"/>
    <w:rsid w:val="003F7224"/>
    <w:rsid w:val="00405146"/>
    <w:rsid w:val="0042731B"/>
    <w:rsid w:val="00427D21"/>
    <w:rsid w:val="004644C2"/>
    <w:rsid w:val="00467F9C"/>
    <w:rsid w:val="00534681"/>
    <w:rsid w:val="0054466E"/>
    <w:rsid w:val="00592B5E"/>
    <w:rsid w:val="005A3034"/>
    <w:rsid w:val="005D4AE5"/>
    <w:rsid w:val="005D710C"/>
    <w:rsid w:val="005F174D"/>
    <w:rsid w:val="006122BA"/>
    <w:rsid w:val="006235C7"/>
    <w:rsid w:val="006B2290"/>
    <w:rsid w:val="006F6A08"/>
    <w:rsid w:val="00717D88"/>
    <w:rsid w:val="00720F70"/>
    <w:rsid w:val="0074776C"/>
    <w:rsid w:val="0075507D"/>
    <w:rsid w:val="00784C04"/>
    <w:rsid w:val="007942D3"/>
    <w:rsid w:val="00794EDE"/>
    <w:rsid w:val="007B6C09"/>
    <w:rsid w:val="007C3BA7"/>
    <w:rsid w:val="007E09DA"/>
    <w:rsid w:val="00805658"/>
    <w:rsid w:val="008178B6"/>
    <w:rsid w:val="00831B06"/>
    <w:rsid w:val="00865B74"/>
    <w:rsid w:val="008F6972"/>
    <w:rsid w:val="009078FD"/>
    <w:rsid w:val="00930BA1"/>
    <w:rsid w:val="0093169E"/>
    <w:rsid w:val="009505C9"/>
    <w:rsid w:val="009B696F"/>
    <w:rsid w:val="009C200D"/>
    <w:rsid w:val="00A10B85"/>
    <w:rsid w:val="00A150CB"/>
    <w:rsid w:val="00A377DE"/>
    <w:rsid w:val="00A51800"/>
    <w:rsid w:val="00A83B56"/>
    <w:rsid w:val="00B2049C"/>
    <w:rsid w:val="00B3369F"/>
    <w:rsid w:val="00B54EA7"/>
    <w:rsid w:val="00B609D9"/>
    <w:rsid w:val="00B651DA"/>
    <w:rsid w:val="00B80DE4"/>
    <w:rsid w:val="00BE3F9B"/>
    <w:rsid w:val="00C83A4D"/>
    <w:rsid w:val="00C9161D"/>
    <w:rsid w:val="00CE58EF"/>
    <w:rsid w:val="00CF1848"/>
    <w:rsid w:val="00D12044"/>
    <w:rsid w:val="00D23B8A"/>
    <w:rsid w:val="00D56DD8"/>
    <w:rsid w:val="00D76A18"/>
    <w:rsid w:val="00D90F6F"/>
    <w:rsid w:val="00DD118C"/>
    <w:rsid w:val="00E616EA"/>
    <w:rsid w:val="00E66235"/>
    <w:rsid w:val="00E70026"/>
    <w:rsid w:val="00E83C24"/>
    <w:rsid w:val="00E9318D"/>
    <w:rsid w:val="00F343A4"/>
    <w:rsid w:val="00F47B33"/>
    <w:rsid w:val="00F7081F"/>
    <w:rsid w:val="00F94774"/>
    <w:rsid w:val="00FB2AC8"/>
    <w:rsid w:val="00FC53DB"/>
    <w:rsid w:val="00FC584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D3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NormalWeb">
    <w:name w:val="Normal (Web)"/>
    <w:basedOn w:val="Normal"/>
    <w:uiPriority w:val="99"/>
    <w:rsid w:val="00FF7D65"/>
    <w:pPr>
      <w:spacing w:before="100" w:beforeAutospacing="1" w:after="100" w:afterAutospacing="1"/>
      <w:jc w:val="left"/>
    </w:pPr>
    <w:rPr>
      <w:rFonts w:ascii="Verdana" w:eastAsia="Arial Unicode MS" w:hAnsi="Verdana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A55"/>
    <w:rsid w:val="00016FFB"/>
    <w:rsid w:val="00103485"/>
    <w:rsid w:val="0041159F"/>
    <w:rsid w:val="004D7E5E"/>
    <w:rsid w:val="00500A2B"/>
    <w:rsid w:val="0058288D"/>
    <w:rsid w:val="005965A6"/>
    <w:rsid w:val="006801B3"/>
    <w:rsid w:val="006E74C8"/>
    <w:rsid w:val="007F1B76"/>
    <w:rsid w:val="00810A55"/>
    <w:rsid w:val="008C6619"/>
    <w:rsid w:val="008D420E"/>
    <w:rsid w:val="0098642F"/>
    <w:rsid w:val="00A634FF"/>
    <w:rsid w:val="00D63CD3"/>
    <w:rsid w:val="00EB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B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F708C9-71C3-4DC5-908F-8B21D3E3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SCBD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CBD/SBI/REC/2/18</dc:subject>
  <dc:creator>SCBD</dc:creator>
  <cp:lastModifiedBy>--</cp:lastModifiedBy>
  <cp:revision>8</cp:revision>
  <dcterms:created xsi:type="dcterms:W3CDTF">2018-08-21T15:37:00Z</dcterms:created>
  <dcterms:modified xsi:type="dcterms:W3CDTF">2018-08-21T17:17:00Z</dcterms:modified>
  <cp:contentStatus>GENERAL</cp:contentStatus>
</cp:coreProperties>
</file>