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9A6A9B" w14:paraId="0B5F83DB" w14:textId="77777777" w:rsidTr="0022079F">
        <w:trPr>
          <w:trHeight w:val="851"/>
        </w:trPr>
        <w:tc>
          <w:tcPr>
            <w:tcW w:w="800" w:type="dxa"/>
            <w:tcBorders>
              <w:bottom w:val="single" w:sz="12" w:space="0" w:color="auto"/>
            </w:tcBorders>
          </w:tcPr>
          <w:p w14:paraId="0B5F83D8" w14:textId="77777777" w:rsidR="00EF3FE6" w:rsidRPr="009A6A9B" w:rsidRDefault="00EF3FE6" w:rsidP="0022079F">
            <w:pPr>
              <w:rPr>
                <w:snapToGrid w:val="0"/>
                <w:kern w:val="22"/>
                <w:lang w:val="ru-RU"/>
              </w:rPr>
            </w:pPr>
            <w:r w:rsidRPr="009A6A9B">
              <w:rPr>
                <w:noProof/>
                <w:snapToGrid w:val="0"/>
                <w:kern w:val="22"/>
                <w:lang w:val="ru-RU" w:eastAsia="es-ES_tradnl"/>
              </w:rPr>
              <w:drawing>
                <wp:anchor distT="0" distB="0" distL="114300" distR="114300" simplePos="0" relativeHeight="251658241" behindDoc="0" locked="0" layoutInCell="1" allowOverlap="1" wp14:anchorId="0B5F840D" wp14:editId="0B5F840E">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B5F83D9" w14:textId="77777777" w:rsidR="00EF3FE6" w:rsidRPr="009A6A9B" w:rsidRDefault="00343311" w:rsidP="0022079F">
            <w:pPr>
              <w:rPr>
                <w:snapToGrid w:val="0"/>
                <w:kern w:val="22"/>
                <w:lang w:val="ru-RU"/>
              </w:rPr>
            </w:pPr>
            <w:r w:rsidRPr="009A6A9B">
              <w:rPr>
                <w:noProof/>
                <w:lang w:val="ru-RU" w:eastAsia="es-ES_tradnl"/>
              </w:rPr>
              <w:drawing>
                <wp:inline distT="0" distB="0" distL="0" distR="0" wp14:anchorId="0B5F840F" wp14:editId="0B5F8410">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0B5F83DA" w14:textId="77777777" w:rsidR="00EF3FE6" w:rsidRPr="009A6A9B" w:rsidRDefault="00EF3FE6" w:rsidP="0022079F">
            <w:pPr>
              <w:jc w:val="right"/>
              <w:rPr>
                <w:rFonts w:ascii="Arial" w:hAnsi="Arial" w:cs="Arial"/>
                <w:b/>
                <w:snapToGrid w:val="0"/>
                <w:kern w:val="22"/>
                <w:sz w:val="32"/>
                <w:szCs w:val="32"/>
                <w:lang w:val="ru-RU"/>
              </w:rPr>
            </w:pPr>
            <w:r w:rsidRPr="009A6A9B">
              <w:rPr>
                <w:rFonts w:ascii="Arial" w:hAnsi="Arial" w:cs="Arial"/>
                <w:b/>
                <w:snapToGrid w:val="0"/>
                <w:kern w:val="22"/>
                <w:sz w:val="32"/>
                <w:szCs w:val="32"/>
                <w:lang w:val="ru-RU"/>
              </w:rPr>
              <w:t>CBD</w:t>
            </w:r>
          </w:p>
        </w:tc>
      </w:tr>
      <w:tr w:rsidR="00EF3FE6" w:rsidRPr="009A6A9B" w14:paraId="0B5F83E6" w14:textId="77777777" w:rsidTr="0022079F">
        <w:tc>
          <w:tcPr>
            <w:tcW w:w="5941" w:type="dxa"/>
            <w:gridSpan w:val="2"/>
            <w:tcBorders>
              <w:top w:val="single" w:sz="12" w:space="0" w:color="auto"/>
              <w:bottom w:val="single" w:sz="36" w:space="0" w:color="auto"/>
            </w:tcBorders>
            <w:vAlign w:val="center"/>
          </w:tcPr>
          <w:p w14:paraId="0B5F83DC" w14:textId="77777777" w:rsidR="00EF3FE6" w:rsidRPr="009A6A9B" w:rsidRDefault="00AD39AA" w:rsidP="0022079F">
            <w:pPr>
              <w:rPr>
                <w:snapToGrid w:val="0"/>
                <w:kern w:val="22"/>
                <w:lang w:val="ru-RU"/>
              </w:rPr>
            </w:pPr>
            <w:r w:rsidRPr="009A6A9B">
              <w:rPr>
                <w:noProof/>
                <w:lang w:val="ru-RU" w:eastAsia="es-ES_tradnl"/>
              </w:rPr>
              <w:drawing>
                <wp:inline distT="0" distB="0" distL="0" distR="0" wp14:anchorId="0B5F8411" wp14:editId="0B5F8412">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B5F83DD" w14:textId="77777777" w:rsidR="00EF3FE6" w:rsidRPr="00FF6D7E" w:rsidRDefault="00EF3FE6" w:rsidP="008C5AAB">
            <w:pPr>
              <w:ind w:left="1141"/>
              <w:rPr>
                <w:snapToGrid w:val="0"/>
                <w:kern w:val="22"/>
                <w:szCs w:val="22"/>
                <w:lang w:val="en-US"/>
              </w:rPr>
            </w:pPr>
            <w:r w:rsidRPr="00FF6D7E">
              <w:rPr>
                <w:snapToGrid w:val="0"/>
                <w:kern w:val="22"/>
                <w:szCs w:val="22"/>
                <w:lang w:val="en-US"/>
              </w:rPr>
              <w:t>Distr.</w:t>
            </w:r>
          </w:p>
          <w:p w14:paraId="0B5F83DE" w14:textId="5A61A61A" w:rsidR="00EF3FE6" w:rsidRPr="00FF6D7E" w:rsidRDefault="00CE1C39" w:rsidP="008C5AAB">
            <w:pPr>
              <w:ind w:left="1141"/>
              <w:rPr>
                <w:snapToGrid w:val="0"/>
                <w:kern w:val="22"/>
                <w:szCs w:val="22"/>
                <w:lang w:val="en-US"/>
              </w:rPr>
            </w:pPr>
            <w:r w:rsidRPr="00FF6D7E">
              <w:rPr>
                <w:snapToGrid w:val="0"/>
                <w:kern w:val="22"/>
                <w:szCs w:val="22"/>
                <w:lang w:val="en-US"/>
              </w:rPr>
              <w:t>GENERAL</w:t>
            </w:r>
          </w:p>
          <w:p w14:paraId="0B5F83DF" w14:textId="77777777" w:rsidR="00EF3FE6" w:rsidRPr="00FF6D7E" w:rsidRDefault="00EF3FE6" w:rsidP="008C5AAB">
            <w:pPr>
              <w:ind w:left="1141"/>
              <w:rPr>
                <w:snapToGrid w:val="0"/>
                <w:kern w:val="22"/>
                <w:szCs w:val="22"/>
                <w:lang w:val="en-US"/>
              </w:rPr>
            </w:pPr>
          </w:p>
          <w:p w14:paraId="0B5F83E0" w14:textId="53733C43" w:rsidR="00EF3FE6" w:rsidRPr="00FF6D7E" w:rsidRDefault="00FF6D7E" w:rsidP="008C5AAB">
            <w:pPr>
              <w:ind w:left="1141"/>
              <w:rPr>
                <w:snapToGrid w:val="0"/>
                <w:kern w:val="22"/>
                <w:szCs w:val="22"/>
                <w:lang w:val="en-US"/>
              </w:rPr>
            </w:pPr>
            <w:sdt>
              <w:sdtPr>
                <w:rPr>
                  <w:lang w:val="en-US"/>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8B4327" w:rsidRPr="00FF6D7E">
                  <w:rPr>
                    <w:lang w:val="en-US"/>
                  </w:rPr>
                  <w:t>CBD/</w:t>
                </w:r>
                <w:r w:rsidR="00B95E4A" w:rsidRPr="00FF6D7E">
                  <w:rPr>
                    <w:lang w:val="en-US"/>
                  </w:rPr>
                  <w:t>NP/MOP/</w:t>
                </w:r>
                <w:r w:rsidR="00CE1C39" w:rsidRPr="00FF6D7E">
                  <w:rPr>
                    <w:lang w:val="en-US"/>
                  </w:rPr>
                  <w:t>DEC/4/7</w:t>
                </w:r>
              </w:sdtContent>
            </w:sdt>
          </w:p>
          <w:p w14:paraId="0B5F83E1" w14:textId="0CDE6F5A" w:rsidR="00EF3FE6" w:rsidRPr="009A6A9B" w:rsidRDefault="00CE1C39" w:rsidP="008C5AAB">
            <w:pPr>
              <w:ind w:left="1141"/>
              <w:rPr>
                <w:snapToGrid w:val="0"/>
                <w:kern w:val="22"/>
                <w:szCs w:val="22"/>
                <w:lang w:val="ru-RU"/>
              </w:rPr>
            </w:pPr>
            <w:r w:rsidRPr="009A6A9B">
              <w:rPr>
                <w:szCs w:val="22"/>
                <w:lang w:val="ru-RU"/>
              </w:rPr>
              <w:t>1</w:t>
            </w:r>
            <w:r w:rsidR="008B4327" w:rsidRPr="009A6A9B">
              <w:rPr>
                <w:szCs w:val="22"/>
                <w:lang w:val="ru-RU"/>
              </w:rPr>
              <w:t xml:space="preserve">9 </w:t>
            </w:r>
            <w:proofErr w:type="spellStart"/>
            <w:r w:rsidR="00B95E4A" w:rsidRPr="009A6A9B">
              <w:rPr>
                <w:szCs w:val="22"/>
                <w:lang w:val="ru-RU"/>
              </w:rPr>
              <w:t>December</w:t>
            </w:r>
            <w:proofErr w:type="spellEnd"/>
            <w:r w:rsidR="008B4327" w:rsidRPr="009A6A9B">
              <w:rPr>
                <w:szCs w:val="22"/>
                <w:lang w:val="ru-RU"/>
              </w:rPr>
              <w:t xml:space="preserve"> 2022</w:t>
            </w:r>
          </w:p>
          <w:p w14:paraId="0B5F83E2" w14:textId="77777777" w:rsidR="00EF3FE6" w:rsidRPr="009A6A9B" w:rsidRDefault="00EF3FE6" w:rsidP="008C5AAB">
            <w:pPr>
              <w:ind w:left="1141"/>
              <w:rPr>
                <w:snapToGrid w:val="0"/>
                <w:kern w:val="22"/>
                <w:szCs w:val="22"/>
                <w:lang w:val="ru-RU"/>
              </w:rPr>
            </w:pPr>
          </w:p>
          <w:p w14:paraId="0B5F83E3" w14:textId="77777777" w:rsidR="008C5AAB" w:rsidRPr="009A6A9B" w:rsidRDefault="008C5AAB" w:rsidP="008C5AAB">
            <w:pPr>
              <w:ind w:left="1141"/>
              <w:rPr>
                <w:szCs w:val="22"/>
                <w:lang w:val="ru-RU"/>
              </w:rPr>
            </w:pPr>
            <w:r w:rsidRPr="009A6A9B">
              <w:rPr>
                <w:szCs w:val="22"/>
                <w:lang w:val="ru-RU"/>
              </w:rPr>
              <w:t xml:space="preserve">RUSSIAN </w:t>
            </w:r>
          </w:p>
          <w:p w14:paraId="0B5F83E4" w14:textId="77777777" w:rsidR="00EF3FE6" w:rsidRPr="009A6A9B" w:rsidRDefault="00EF3FE6" w:rsidP="008C5AAB">
            <w:pPr>
              <w:ind w:left="1141"/>
              <w:rPr>
                <w:snapToGrid w:val="0"/>
                <w:kern w:val="22"/>
                <w:szCs w:val="22"/>
                <w:lang w:val="ru-RU"/>
              </w:rPr>
            </w:pPr>
            <w:r w:rsidRPr="009A6A9B">
              <w:rPr>
                <w:snapToGrid w:val="0"/>
                <w:kern w:val="22"/>
                <w:szCs w:val="22"/>
                <w:lang w:val="ru-RU"/>
              </w:rPr>
              <w:t>ORIGINAL: ENGLISH</w:t>
            </w:r>
          </w:p>
          <w:p w14:paraId="0B5F83E5" w14:textId="77777777" w:rsidR="00EF3FE6" w:rsidRPr="009A6A9B" w:rsidRDefault="00EF3FE6" w:rsidP="0022079F">
            <w:pPr>
              <w:rPr>
                <w:snapToGrid w:val="0"/>
                <w:kern w:val="22"/>
                <w:lang w:val="ru-RU"/>
              </w:rPr>
            </w:pPr>
          </w:p>
        </w:tc>
      </w:tr>
    </w:tbl>
    <w:p w14:paraId="0B5F83E7" w14:textId="77777777" w:rsidR="00B95E4A" w:rsidRPr="009A6A9B" w:rsidRDefault="00B95E4A" w:rsidP="00B95E4A">
      <w:pPr>
        <w:pStyle w:val="Cornernotation"/>
        <w:kinsoku w:val="0"/>
        <w:overflowPunct w:val="0"/>
        <w:autoSpaceDE w:val="0"/>
        <w:autoSpaceDN w:val="0"/>
        <w:spacing w:before="60"/>
        <w:ind w:left="227" w:right="3792" w:hanging="227"/>
        <w:rPr>
          <w:snapToGrid w:val="0"/>
          <w:kern w:val="22"/>
          <w:lang w:val="ru-RU"/>
        </w:rPr>
      </w:pPr>
      <w:bookmarkStart w:id="0" w:name="_Hlk71227805"/>
      <w:r w:rsidRPr="009A6A9B">
        <w:rPr>
          <w:snapToGrid w:val="0"/>
          <w:kern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0B5F83E8" w14:textId="77777777" w:rsidR="00B95E4A" w:rsidRPr="009A6A9B" w:rsidRDefault="00B95E4A" w:rsidP="00B95E4A">
      <w:pPr>
        <w:pStyle w:val="Cornernotation"/>
        <w:kinsoku w:val="0"/>
        <w:overflowPunct w:val="0"/>
        <w:autoSpaceDE w:val="0"/>
        <w:autoSpaceDN w:val="0"/>
        <w:ind w:left="0" w:right="3792" w:firstLine="0"/>
        <w:rPr>
          <w:snapToGrid w:val="0"/>
          <w:kern w:val="22"/>
          <w:lang w:val="ru-RU"/>
        </w:rPr>
      </w:pPr>
      <w:r w:rsidRPr="009A6A9B">
        <w:rPr>
          <w:snapToGrid w:val="0"/>
          <w:kern w:val="22"/>
          <w:lang w:val="ru-RU"/>
        </w:rPr>
        <w:t>Четвертое совещание, часть II</w:t>
      </w:r>
    </w:p>
    <w:p w14:paraId="0B5F83E9" w14:textId="77777777" w:rsidR="00B95E4A" w:rsidRPr="009A6A9B" w:rsidRDefault="00B95E4A" w:rsidP="00B95E4A">
      <w:pPr>
        <w:pStyle w:val="Cornernotation"/>
        <w:kinsoku w:val="0"/>
        <w:overflowPunct w:val="0"/>
        <w:autoSpaceDE w:val="0"/>
        <w:autoSpaceDN w:val="0"/>
        <w:ind w:left="227" w:right="3792" w:hanging="227"/>
        <w:rPr>
          <w:snapToGrid w:val="0"/>
          <w:kern w:val="22"/>
          <w:szCs w:val="22"/>
          <w:lang w:val="ru-RU" w:eastAsia="nb-NO"/>
        </w:rPr>
      </w:pPr>
      <w:r w:rsidRPr="009A6A9B">
        <w:rPr>
          <w:snapToGrid w:val="0"/>
          <w:kern w:val="22"/>
          <w:szCs w:val="22"/>
          <w:lang w:val="ru-RU" w:eastAsia="nb-NO"/>
        </w:rPr>
        <w:t>Монреаль, Канада, 7-19 декабря 2022 года</w:t>
      </w:r>
    </w:p>
    <w:p w14:paraId="0B5F83EA" w14:textId="77777777" w:rsidR="00B95E4A" w:rsidRPr="009A6A9B" w:rsidRDefault="00B95E4A" w:rsidP="00B95E4A">
      <w:pPr>
        <w:ind w:right="3792"/>
        <w:rPr>
          <w:lang w:val="ru-RU"/>
        </w:rPr>
      </w:pPr>
      <w:r w:rsidRPr="009A6A9B">
        <w:rPr>
          <w:snapToGrid w:val="0"/>
          <w:kern w:val="22"/>
          <w:szCs w:val="22"/>
          <w:lang w:val="ru-RU"/>
        </w:rPr>
        <w:t xml:space="preserve">Пункт </w:t>
      </w:r>
      <w:r w:rsidR="00E40240" w:rsidRPr="009A6A9B">
        <w:rPr>
          <w:snapToGrid w:val="0"/>
          <w:kern w:val="22"/>
          <w:szCs w:val="22"/>
          <w:lang w:val="ru-RU"/>
        </w:rPr>
        <w:t>8</w:t>
      </w:r>
      <w:r w:rsidRPr="009A6A9B">
        <w:rPr>
          <w:snapToGrid w:val="0"/>
          <w:kern w:val="22"/>
          <w:szCs w:val="22"/>
          <w:lang w:val="ru-RU"/>
        </w:rPr>
        <w:t xml:space="preserve"> повестки дня</w:t>
      </w:r>
    </w:p>
    <w:bookmarkEnd w:id="0"/>
    <w:p w14:paraId="2401E70F" w14:textId="77777777" w:rsidR="00371DDB" w:rsidRPr="009A6A9B" w:rsidRDefault="00371DDB" w:rsidP="00371DDB">
      <w:pPr>
        <w:pStyle w:val="NormalWeb"/>
        <w:jc w:val="center"/>
        <w:rPr>
          <w:rFonts w:ascii="Times New Roman Bold" w:hAnsi="Times New Roman Bold"/>
          <w:b/>
          <w:bCs/>
          <w:caps/>
          <w:sz w:val="22"/>
          <w:szCs w:val="22"/>
          <w:lang w:val="ru-RU"/>
        </w:rPr>
      </w:pPr>
      <w:r w:rsidRPr="009A6A9B">
        <w:rPr>
          <w:rFonts w:ascii="Times New Roman Bold" w:hAnsi="Times New Roman Bold"/>
          <w:b/>
          <w:caps/>
          <w:sz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7809FFDD" w14:textId="06167BF6" w:rsidR="00371DDB" w:rsidRPr="009A6A9B" w:rsidRDefault="00FF6D7E" w:rsidP="00371DDB">
      <w:pPr>
        <w:keepNext/>
        <w:spacing w:before="240" w:after="240"/>
        <w:ind w:left="1872" w:hanging="1152"/>
        <w:jc w:val="left"/>
        <w:outlineLvl w:val="1"/>
        <w:rPr>
          <w:b/>
          <w:caps/>
          <w:lang w:val="ru-RU"/>
        </w:rPr>
      </w:pPr>
      <w:sdt>
        <w:sdtPr>
          <w:rPr>
            <w:rFonts w:asciiTheme="majorBidi" w:hAnsiTheme="majorBidi" w:cstheme="majorBidi"/>
            <w:b/>
            <w:bCs/>
            <w:szCs w:val="22"/>
            <w:lang w:val="ru-RU"/>
          </w:rPr>
          <w:alias w:val="Title"/>
          <w:id w:val="477343052"/>
          <w:placeholder>
            <w:docPart w:val="E097579DA00E4031905F52494B7D59BF"/>
          </w:placeholder>
          <w:dataBinding w:prefixMappings="xmlns:ns0='http://purl.org/dc/elements/1.1/' xmlns:ns1='http://schemas.openxmlformats.org/package/2006/metadata/core-properties' " w:xpath="/ns1:coreProperties[1]/ns0:title[1]" w:storeItemID="{6C3C8BC8-F283-45AE-878A-BAB7291924A1}"/>
          <w:text/>
        </w:sdtPr>
        <w:sdtEndPr/>
        <w:sdtContent>
          <w:r w:rsidR="00371DDB" w:rsidRPr="00FF6D7E">
            <w:rPr>
              <w:rFonts w:asciiTheme="majorBidi" w:hAnsiTheme="majorBidi" w:cstheme="majorBidi"/>
              <w:b/>
              <w:bCs/>
              <w:szCs w:val="22"/>
              <w:lang w:val="ru-RU"/>
            </w:rPr>
            <w:t>NP-4/7. Меры по оказанию поддержки созданию и развитию потенциала (статья 2</w:t>
          </w:r>
          <w:r w:rsidRPr="00FF6D7E">
            <w:rPr>
              <w:rFonts w:asciiTheme="majorBidi" w:hAnsiTheme="majorBidi" w:cstheme="majorBidi"/>
              <w:b/>
              <w:bCs/>
              <w:szCs w:val="22"/>
              <w:lang w:val="ru-RU"/>
            </w:rPr>
            <w:t>2</w:t>
          </w:r>
          <w:r w:rsidR="00371DDB" w:rsidRPr="00FF6D7E">
            <w:rPr>
              <w:rFonts w:asciiTheme="majorBidi" w:hAnsiTheme="majorBidi" w:cstheme="majorBidi"/>
              <w:b/>
              <w:bCs/>
              <w:szCs w:val="22"/>
              <w:lang w:val="ru-RU"/>
            </w:rPr>
            <w:t>) и повышению осведомленности (статья 2</w:t>
          </w:r>
          <w:r w:rsidRPr="00FF6D7E">
            <w:rPr>
              <w:rFonts w:asciiTheme="majorBidi" w:hAnsiTheme="majorBidi" w:cstheme="majorBidi"/>
              <w:b/>
              <w:bCs/>
              <w:szCs w:val="22"/>
              <w:lang w:val="ru-RU"/>
            </w:rPr>
            <w:t>1</w:t>
          </w:r>
          <w:r w:rsidR="00371DDB" w:rsidRPr="00FF6D7E">
            <w:rPr>
              <w:rFonts w:asciiTheme="majorBidi" w:hAnsiTheme="majorBidi" w:cstheme="majorBidi"/>
              <w:b/>
              <w:bCs/>
              <w:szCs w:val="22"/>
              <w:lang w:val="ru-RU"/>
            </w:rPr>
            <w:t>)</w:t>
          </w:r>
        </w:sdtContent>
      </w:sdt>
    </w:p>
    <w:p w14:paraId="32A9C430" w14:textId="77777777" w:rsidR="00371DDB" w:rsidRPr="009A6A9B" w:rsidRDefault="00371DDB" w:rsidP="00371DDB">
      <w:pPr>
        <w:pStyle w:val="Para1"/>
        <w:keepNext/>
        <w:numPr>
          <w:ilvl w:val="0"/>
          <w:numId w:val="0"/>
        </w:numPr>
        <w:spacing w:before="240"/>
        <w:ind w:left="1556" w:right="144" w:hanging="850"/>
        <w:outlineLvl w:val="2"/>
        <w:rPr>
          <w:b/>
          <w:bCs/>
          <w:lang w:val="ru-RU"/>
        </w:rPr>
      </w:pPr>
      <w:r w:rsidRPr="009A6A9B">
        <w:rPr>
          <w:b/>
          <w:lang w:val="ru-RU"/>
        </w:rPr>
        <w:t>A.</w:t>
      </w:r>
      <w:r w:rsidRPr="009A6A9B">
        <w:rPr>
          <w:b/>
          <w:lang w:val="ru-RU"/>
        </w:rPr>
        <w:tab/>
        <w:t>Создание и развитие потенциала в поддержку эффективного осуществления Нагойского протокола</w:t>
      </w:r>
    </w:p>
    <w:p w14:paraId="35D82581" w14:textId="77777777" w:rsidR="00371DDB" w:rsidRPr="009A6A9B" w:rsidRDefault="00371DDB" w:rsidP="00371DDB">
      <w:pPr>
        <w:pStyle w:val="Para1"/>
        <w:numPr>
          <w:ilvl w:val="0"/>
          <w:numId w:val="0"/>
        </w:numPr>
        <w:ind w:firstLine="720"/>
        <w:rPr>
          <w:i/>
          <w:iCs/>
          <w:lang w:val="ru-RU"/>
        </w:rPr>
      </w:pPr>
      <w:r w:rsidRPr="009A6A9B">
        <w:rPr>
          <w:i/>
          <w:lang w:val="ru-RU"/>
        </w:rPr>
        <w:t>Конференция Сторон, выступающая в качестве совещания Сторон Нагойского протокола,</w:t>
      </w:r>
    </w:p>
    <w:p w14:paraId="402384F4" w14:textId="77777777" w:rsidR="00371DDB" w:rsidRPr="009A6A9B" w:rsidRDefault="00371DDB" w:rsidP="00371DDB">
      <w:pPr>
        <w:pStyle w:val="Para1"/>
        <w:numPr>
          <w:ilvl w:val="0"/>
          <w:numId w:val="0"/>
        </w:numPr>
        <w:suppressLineNumbers/>
        <w:shd w:val="clear" w:color="auto" w:fill="FFFFFF" w:themeFill="background1"/>
        <w:suppressAutoHyphens/>
        <w:ind w:firstLine="720"/>
        <w:rPr>
          <w:rFonts w:eastAsia="Calibri"/>
          <w:kern w:val="22"/>
          <w:lang w:val="ru-RU"/>
        </w:rPr>
      </w:pPr>
      <w:r w:rsidRPr="009A6A9B">
        <w:rPr>
          <w:lang w:val="ru-RU"/>
        </w:rPr>
        <w:t>1.</w:t>
      </w:r>
      <w:r w:rsidRPr="009A6A9B">
        <w:rPr>
          <w:lang w:val="ru-RU"/>
        </w:rPr>
        <w:tab/>
      </w:r>
      <w:r w:rsidRPr="009A6A9B">
        <w:rPr>
          <w:i/>
          <w:iCs/>
          <w:lang w:val="ru-RU"/>
        </w:rPr>
        <w:t>принимает к сведению</w:t>
      </w:r>
      <w:r w:rsidRPr="009A6A9B">
        <w:rPr>
          <w:lang w:val="ru-RU"/>
        </w:rPr>
        <w:t xml:space="preserve"> выводы и рекомендации оценки стратегической структуры для создания и развития потенциала в поддержку эффективного осуществления Нагойского протокола</w:t>
      </w:r>
      <w:r w:rsidRPr="009A6A9B">
        <w:rPr>
          <w:rStyle w:val="FootnoteReference"/>
          <w:rFonts w:eastAsia="Calibri"/>
          <w:kern w:val="22"/>
          <w:lang w:val="ru-RU"/>
        </w:rPr>
        <w:footnoteReference w:id="2"/>
      </w:r>
      <w:r w:rsidRPr="009A6A9B">
        <w:rPr>
          <w:lang w:val="ru-RU"/>
        </w:rPr>
        <w:t>, включая материалы, представленные Неофициальным консультативным комитетом по созданию потенциала для осуществления Нагойского протокол на его четвертом совещании;</w:t>
      </w:r>
    </w:p>
    <w:p w14:paraId="2DB05C3C" w14:textId="77777777" w:rsidR="00371DDB" w:rsidRPr="009A6A9B" w:rsidRDefault="00371DDB" w:rsidP="00371DDB">
      <w:pPr>
        <w:suppressLineNumbers/>
        <w:shd w:val="clear" w:color="auto" w:fill="FFFFFF" w:themeFill="background1"/>
        <w:suppressAutoHyphens/>
        <w:kinsoku w:val="0"/>
        <w:overflowPunct w:val="0"/>
        <w:autoSpaceDE w:val="0"/>
        <w:autoSpaceDN w:val="0"/>
        <w:adjustRightInd w:val="0"/>
        <w:snapToGrid w:val="0"/>
        <w:spacing w:before="120" w:after="120"/>
        <w:ind w:firstLine="709"/>
        <w:rPr>
          <w:rFonts w:eastAsia="Calibri"/>
          <w:kern w:val="22"/>
          <w:lang w:val="ru-RU"/>
        </w:rPr>
      </w:pPr>
      <w:r w:rsidRPr="009A6A9B">
        <w:rPr>
          <w:lang w:val="ru-RU"/>
        </w:rPr>
        <w:t>2.</w:t>
      </w:r>
      <w:r w:rsidRPr="009A6A9B">
        <w:rPr>
          <w:i/>
          <w:lang w:val="ru-RU"/>
        </w:rPr>
        <w:tab/>
        <w:t xml:space="preserve">одобряет </w:t>
      </w:r>
      <w:r w:rsidRPr="009A6A9B">
        <w:rPr>
          <w:lang w:val="ru-RU"/>
        </w:rPr>
        <w:t>долгосрочную стратегическую структуру для создания и развития потенциала</w:t>
      </w:r>
      <w:r w:rsidRPr="009A6A9B">
        <w:rPr>
          <w:rStyle w:val="FootnoteReference"/>
          <w:iCs/>
          <w:kern w:val="22"/>
          <w:szCs w:val="22"/>
          <w:lang w:val="ru-RU" w:eastAsia="en-CA"/>
        </w:rPr>
        <w:footnoteReference w:id="3"/>
      </w:r>
      <w:r w:rsidRPr="009A6A9B">
        <w:rPr>
          <w:lang w:val="ru-RU"/>
        </w:rPr>
        <w:t xml:space="preserve">, принятую в рамках Конвенции в поддержку осуществления </w:t>
      </w:r>
      <w:proofErr w:type="spellStart"/>
      <w:r w:rsidRPr="009A6A9B">
        <w:rPr>
          <w:lang w:val="ru-RU"/>
        </w:rPr>
        <w:t>Куньминско</w:t>
      </w:r>
      <w:proofErr w:type="spellEnd"/>
      <w:r w:rsidRPr="009A6A9B">
        <w:rPr>
          <w:lang w:val="ru-RU"/>
        </w:rPr>
        <w:t>-Монреальской глобальной рамочной программы в области биоразнообразия</w:t>
      </w:r>
      <w:r w:rsidRPr="009A6A9B">
        <w:rPr>
          <w:rStyle w:val="FootnoteReference"/>
          <w:rFonts w:eastAsia="Calibri"/>
          <w:kern w:val="22"/>
          <w:lang w:val="ru-RU"/>
        </w:rPr>
        <w:footnoteReference w:id="4"/>
      </w:r>
      <w:r w:rsidRPr="009A6A9B">
        <w:rPr>
          <w:lang w:val="ru-RU"/>
        </w:rPr>
        <w:t>;</w:t>
      </w:r>
    </w:p>
    <w:p w14:paraId="61CF2A3C" w14:textId="77777777" w:rsidR="00371DDB" w:rsidRPr="009A6A9B" w:rsidRDefault="00371DDB" w:rsidP="00371DDB">
      <w:pPr>
        <w:pStyle w:val="Para1"/>
        <w:numPr>
          <w:ilvl w:val="0"/>
          <w:numId w:val="0"/>
        </w:numPr>
        <w:suppressLineNumbers/>
        <w:suppressAutoHyphens/>
        <w:ind w:firstLine="720"/>
        <w:rPr>
          <w:rFonts w:eastAsia="Calibri"/>
          <w:kern w:val="22"/>
          <w:lang w:val="ru-RU"/>
        </w:rPr>
      </w:pPr>
      <w:r w:rsidRPr="009A6A9B">
        <w:rPr>
          <w:lang w:val="ru-RU"/>
        </w:rPr>
        <w:t>3.</w:t>
      </w:r>
      <w:r w:rsidRPr="009A6A9B">
        <w:rPr>
          <w:lang w:val="ru-RU"/>
        </w:rPr>
        <w:tab/>
      </w:r>
      <w:r w:rsidRPr="009A6A9B">
        <w:rPr>
          <w:i/>
          <w:lang w:val="ru-RU"/>
        </w:rPr>
        <w:t xml:space="preserve">приветствует </w:t>
      </w:r>
      <w:r w:rsidRPr="009A6A9B">
        <w:rPr>
          <w:lang w:val="ru-RU"/>
        </w:rPr>
        <w:t xml:space="preserve">рекомендации по улучшению стратегической структуры для создания и развития потенциала в поддержку эффективного осуществления Нагойского протокола и соглашается пересмотреть ее в соответствии с </w:t>
      </w:r>
      <w:proofErr w:type="spellStart"/>
      <w:r w:rsidRPr="009A6A9B">
        <w:rPr>
          <w:lang w:val="ru-RU"/>
        </w:rPr>
        <w:t>Куньминско</w:t>
      </w:r>
      <w:proofErr w:type="spellEnd"/>
      <w:r w:rsidRPr="009A6A9B">
        <w:rPr>
          <w:lang w:val="ru-RU"/>
        </w:rPr>
        <w:t xml:space="preserve">-Монреальской глобальной рамочной программой в области биоразнообразия, долгосрочной стратегической структурой для создания и </w:t>
      </w:r>
      <w:r w:rsidRPr="009A6A9B">
        <w:rPr>
          <w:lang w:val="ru-RU"/>
        </w:rPr>
        <w:lastRenderedPageBreak/>
        <w:t xml:space="preserve">развития потенциала в поддержку осуществления </w:t>
      </w:r>
      <w:proofErr w:type="spellStart"/>
      <w:r w:rsidRPr="009A6A9B">
        <w:rPr>
          <w:lang w:val="ru-RU"/>
        </w:rPr>
        <w:t>Куньминско</w:t>
      </w:r>
      <w:proofErr w:type="spellEnd"/>
      <w:r w:rsidRPr="009A6A9B">
        <w:rPr>
          <w:lang w:val="ru-RU"/>
        </w:rPr>
        <w:t>-Монреальской глобальной рамочной программы в области биоразнообразия и выводами оценки, упомянутыми в пункте 1 выше;</w:t>
      </w:r>
    </w:p>
    <w:p w14:paraId="639421BA" w14:textId="6652E928" w:rsidR="00371DDB" w:rsidRPr="009A6A9B" w:rsidRDefault="00371DDB" w:rsidP="00371DDB">
      <w:pPr>
        <w:pStyle w:val="Para1"/>
        <w:numPr>
          <w:ilvl w:val="0"/>
          <w:numId w:val="0"/>
        </w:numPr>
        <w:suppressLineNumbers/>
        <w:suppressAutoHyphens/>
        <w:ind w:firstLine="720"/>
        <w:rPr>
          <w:rFonts w:eastAsia="Calibri"/>
          <w:kern w:val="22"/>
          <w:lang w:val="ru-RU"/>
        </w:rPr>
      </w:pPr>
      <w:r w:rsidRPr="009A6A9B">
        <w:rPr>
          <w:lang w:val="ru-RU"/>
        </w:rPr>
        <w:t>4.</w:t>
      </w:r>
      <w:r w:rsidRPr="009A6A9B">
        <w:rPr>
          <w:lang w:val="ru-RU"/>
        </w:rPr>
        <w:tab/>
      </w:r>
      <w:r w:rsidRPr="009A6A9B">
        <w:rPr>
          <w:i/>
          <w:iCs/>
          <w:lang w:val="ru-RU"/>
        </w:rPr>
        <w:t>принимает к сведению</w:t>
      </w:r>
      <w:r w:rsidRPr="009A6A9B">
        <w:rPr>
          <w:lang w:val="ru-RU"/>
        </w:rPr>
        <w:t xml:space="preserve"> доклад Неофициального консультативного комитета по созданию потенциала для осуществления Нагойского протокола на его четвертом совещании, проходившем в межсессионный период</w:t>
      </w:r>
      <w:r w:rsidRPr="009A6A9B">
        <w:rPr>
          <w:rStyle w:val="FootnoteReference"/>
          <w:rFonts w:eastAsia="Calibri"/>
          <w:kern w:val="22"/>
          <w:lang w:val="ru-RU"/>
        </w:rPr>
        <w:footnoteReference w:id="5"/>
      </w:r>
      <w:r w:rsidRPr="009A6A9B">
        <w:rPr>
          <w:lang w:val="ru-RU"/>
        </w:rPr>
        <w:t>;</w:t>
      </w:r>
    </w:p>
    <w:p w14:paraId="44DEC5EB" w14:textId="72A8F916" w:rsidR="00371DDB" w:rsidRPr="009A6A9B" w:rsidRDefault="00371DDB" w:rsidP="00371DDB">
      <w:pPr>
        <w:pStyle w:val="Para1"/>
        <w:numPr>
          <w:ilvl w:val="0"/>
          <w:numId w:val="0"/>
        </w:numPr>
        <w:suppressLineNumbers/>
        <w:suppressAutoHyphens/>
        <w:ind w:firstLine="720"/>
        <w:rPr>
          <w:rFonts w:eastAsia="Calibri"/>
          <w:i/>
          <w:kern w:val="22"/>
          <w:lang w:val="ru-RU"/>
        </w:rPr>
      </w:pPr>
      <w:r w:rsidRPr="009A6A9B">
        <w:rPr>
          <w:lang w:val="ru-RU"/>
        </w:rPr>
        <w:t>5.</w:t>
      </w:r>
      <w:r w:rsidRPr="009A6A9B">
        <w:rPr>
          <w:lang w:val="ru-RU"/>
        </w:rPr>
        <w:tab/>
      </w:r>
      <w:r w:rsidRPr="009A6A9B">
        <w:rPr>
          <w:i/>
          <w:iCs/>
          <w:lang w:val="ru-RU"/>
        </w:rPr>
        <w:t>постановляет</w:t>
      </w:r>
      <w:r w:rsidRPr="009A6A9B">
        <w:rPr>
          <w:lang w:val="ru-RU"/>
        </w:rPr>
        <w:t xml:space="preserve"> продлить мандат Неофициального консультативного комитета до пятого совещания Конференции Сторон, выступающей в качестве совещания Сторон Нагойского протокола, обновить круг его полномочий, с тем чтобы он включал в себя оказание поддержки в деле пересмотра и обновления стратегической структуры для создания и развития потенциала в поддержку эффективного осуществления Нагойского протокола, и расширить состав Неофициального консультативного комитета, включив в него представителей делового сектора, научных кругов и молодежи;</w:t>
      </w:r>
    </w:p>
    <w:p w14:paraId="315BB10C" w14:textId="19DC7C70" w:rsidR="00371DDB" w:rsidRPr="009A6A9B" w:rsidRDefault="00371DDB" w:rsidP="00371DDB">
      <w:pPr>
        <w:pStyle w:val="Para1"/>
        <w:numPr>
          <w:ilvl w:val="0"/>
          <w:numId w:val="0"/>
        </w:numPr>
        <w:suppressLineNumbers/>
        <w:suppressAutoHyphens/>
        <w:ind w:firstLine="720"/>
        <w:rPr>
          <w:rFonts w:eastAsia="Calibri"/>
          <w:kern w:val="22"/>
          <w:lang w:val="ru-RU"/>
        </w:rPr>
      </w:pPr>
      <w:r w:rsidRPr="009A6A9B">
        <w:rPr>
          <w:lang w:val="ru-RU"/>
        </w:rPr>
        <w:t>6.</w:t>
      </w:r>
      <w:r w:rsidRPr="009A6A9B">
        <w:rPr>
          <w:lang w:val="ru-RU"/>
        </w:rPr>
        <w:tab/>
      </w:r>
      <w:r w:rsidRPr="009A6A9B">
        <w:rPr>
          <w:i/>
          <w:lang w:val="ru-RU"/>
        </w:rPr>
        <w:t>также постановляет</w:t>
      </w:r>
      <w:r w:rsidRPr="009A6A9B">
        <w:rPr>
          <w:lang w:val="ru-RU"/>
        </w:rPr>
        <w:t>, что Неофициальный консультативный комитет проведет одно совещание и, при необходимости, онлайновые консультации для оказания поддержки в деле пересмотра и обновления стратегической структуры для создания и развития потенциала в поддержку эффективного осуществления Нагойского протокола;</w:t>
      </w:r>
    </w:p>
    <w:p w14:paraId="25A3E9AF" w14:textId="77777777" w:rsidR="00371DDB" w:rsidRPr="009A6A9B" w:rsidRDefault="00371DDB" w:rsidP="00371DDB">
      <w:pPr>
        <w:pStyle w:val="Para1"/>
        <w:numPr>
          <w:ilvl w:val="0"/>
          <w:numId w:val="0"/>
        </w:numPr>
        <w:suppressLineNumbers/>
        <w:suppressAutoHyphens/>
        <w:ind w:firstLine="720"/>
        <w:rPr>
          <w:rFonts w:eastAsia="Calibri"/>
          <w:kern w:val="22"/>
          <w:lang w:val="ru-RU"/>
        </w:rPr>
      </w:pPr>
      <w:r w:rsidRPr="009A6A9B">
        <w:rPr>
          <w:lang w:val="ru-RU"/>
        </w:rPr>
        <w:t>7.</w:t>
      </w:r>
      <w:r w:rsidRPr="009A6A9B">
        <w:rPr>
          <w:lang w:val="ru-RU"/>
        </w:rPr>
        <w:tab/>
      </w:r>
      <w:r w:rsidRPr="009A6A9B">
        <w:rPr>
          <w:i/>
          <w:lang w:val="ru-RU"/>
        </w:rPr>
        <w:t>настоятельно призывает</w:t>
      </w:r>
      <w:r w:rsidRPr="009A6A9B">
        <w:rPr>
          <w:lang w:val="ru-RU"/>
        </w:rPr>
        <w:t xml:space="preserve"> Стороны и предлагает другим правительствам и соответствующим организациям, у которых есть такая возможность:</w:t>
      </w:r>
    </w:p>
    <w:p w14:paraId="1C48ADA0" w14:textId="77777777" w:rsidR="00371DDB" w:rsidRPr="009A6A9B" w:rsidRDefault="00371DDB" w:rsidP="00371DDB">
      <w:pPr>
        <w:pStyle w:val="Para1"/>
        <w:numPr>
          <w:ilvl w:val="0"/>
          <w:numId w:val="0"/>
        </w:numPr>
        <w:suppressLineNumbers/>
        <w:suppressAutoHyphens/>
        <w:ind w:firstLine="720"/>
        <w:rPr>
          <w:rFonts w:eastAsia="Calibri"/>
          <w:kern w:val="22"/>
          <w:lang w:val="ru-RU"/>
        </w:rPr>
      </w:pPr>
      <w:r w:rsidRPr="009A6A9B">
        <w:rPr>
          <w:lang w:val="ru-RU"/>
        </w:rPr>
        <w:t>(a)</w:t>
      </w:r>
      <w:r w:rsidRPr="009A6A9B">
        <w:rPr>
          <w:lang w:val="ru-RU"/>
        </w:rPr>
        <w:tab/>
        <w:t xml:space="preserve">активизировать свои усилия по созданию и развитию потенциала Сторон из числа развивающихся стран, в частности наименее развитых стран и малых островных развивающихся государств, а также Сторон с переходной экономикой, для осуществления Нагойского протокола в соответствии с положениями Конвенции и Нагойского протокола к ней, с учетом приоритетных областей, обозначенных в приложении к настоящему решению и в </w:t>
      </w:r>
      <w:proofErr w:type="spellStart"/>
      <w:r w:rsidRPr="009A6A9B">
        <w:rPr>
          <w:lang w:val="ru-RU"/>
        </w:rPr>
        <w:t>Куньминско</w:t>
      </w:r>
      <w:proofErr w:type="spellEnd"/>
      <w:r w:rsidRPr="009A6A9B">
        <w:rPr>
          <w:lang w:val="ru-RU"/>
        </w:rPr>
        <w:t>-Монреальской глобальной рамочной программе в области биоразнообразия;</w:t>
      </w:r>
    </w:p>
    <w:p w14:paraId="2B399ECE" w14:textId="77777777" w:rsidR="00371DDB" w:rsidRPr="009A6A9B" w:rsidRDefault="00371DDB" w:rsidP="00371DDB">
      <w:pPr>
        <w:pStyle w:val="Para1"/>
        <w:numPr>
          <w:ilvl w:val="0"/>
          <w:numId w:val="0"/>
        </w:numPr>
        <w:suppressLineNumbers/>
        <w:suppressAutoHyphens/>
        <w:ind w:firstLine="720"/>
        <w:rPr>
          <w:rFonts w:eastAsia="Calibri"/>
          <w:kern w:val="22"/>
          <w:lang w:val="ru-RU"/>
        </w:rPr>
      </w:pPr>
      <w:r w:rsidRPr="009A6A9B">
        <w:rPr>
          <w:lang w:val="ru-RU"/>
        </w:rPr>
        <w:t>(b)</w:t>
      </w:r>
      <w:r w:rsidRPr="009A6A9B">
        <w:rPr>
          <w:lang w:val="ru-RU"/>
        </w:rPr>
        <w:tab/>
        <w:t>и далее публиковать информацию о потребностях, инициативах и ресурсах в области создания и развития потенциала, а также обмениваться передовым опытом и извлеченными уроками с помощью Механизма посредничества для регулирования доступа к генетическим ресурсам и совместного использования выгод;</w:t>
      </w:r>
    </w:p>
    <w:p w14:paraId="5C8E09D8" w14:textId="59F12C97" w:rsidR="00371DDB" w:rsidRPr="009A6A9B" w:rsidRDefault="00371DDB" w:rsidP="00371DDB">
      <w:pPr>
        <w:pStyle w:val="Para1"/>
        <w:numPr>
          <w:ilvl w:val="0"/>
          <w:numId w:val="0"/>
        </w:numPr>
        <w:suppressLineNumbers/>
        <w:shd w:val="clear" w:color="auto" w:fill="FFFFFF" w:themeFill="background1"/>
        <w:suppressAutoHyphens/>
        <w:ind w:firstLine="720"/>
        <w:rPr>
          <w:i/>
          <w:kern w:val="22"/>
          <w:lang w:val="ru-RU"/>
        </w:rPr>
      </w:pPr>
      <w:r w:rsidRPr="009A6A9B">
        <w:rPr>
          <w:lang w:val="ru-RU"/>
        </w:rPr>
        <w:t>8.</w:t>
      </w:r>
      <w:r w:rsidRPr="009A6A9B">
        <w:rPr>
          <w:lang w:val="ru-RU"/>
        </w:rPr>
        <w:tab/>
      </w:r>
      <w:r w:rsidRPr="009A6A9B">
        <w:rPr>
          <w:i/>
          <w:iCs/>
          <w:lang w:val="ru-RU"/>
        </w:rPr>
        <w:t>поручает</w:t>
      </w:r>
      <w:r w:rsidRPr="009A6A9B">
        <w:rPr>
          <w:lang w:val="ru-RU"/>
        </w:rPr>
        <w:t xml:space="preserve"> Исполнительному секретарю в консультации со Сторонами подготовить пересмотренную стратегическую структуру для создания и развития потенциала в поддержку эффективного осуществления Нагойского протокола в соответствии с </w:t>
      </w:r>
      <w:proofErr w:type="spellStart"/>
      <w:r w:rsidRPr="009A6A9B">
        <w:rPr>
          <w:lang w:val="ru-RU"/>
        </w:rPr>
        <w:t>Куньминско</w:t>
      </w:r>
      <w:proofErr w:type="spellEnd"/>
      <w:r w:rsidRPr="009A6A9B">
        <w:rPr>
          <w:lang w:val="ru-RU"/>
        </w:rPr>
        <w:t>-Монреальской глобальной рамочной программой в области биоразнообразия и долгосрочной стратегической структурой для</w:t>
      </w:r>
      <w:r w:rsidR="00A36B25">
        <w:rPr>
          <w:lang w:val="ru-RU"/>
        </w:rPr>
        <w:t xml:space="preserve"> создания и развития потенциала и</w:t>
      </w:r>
      <w:r w:rsidRPr="009A6A9B">
        <w:rPr>
          <w:lang w:val="ru-RU"/>
        </w:rPr>
        <w:t xml:space="preserve"> с учетом выводов оценки, для рассмотрения Вспомогательным органом по осуществлению на его четвертом совещании и принятия Конференцией Сторон, выступающей в качестве совещания Сторон Нагойского протокола, на ее пятом совещании.</w:t>
      </w:r>
    </w:p>
    <w:p w14:paraId="501C8879" w14:textId="77777777" w:rsidR="00371DDB" w:rsidRPr="009A6A9B" w:rsidRDefault="00371DDB" w:rsidP="00371DDB">
      <w:pPr>
        <w:pStyle w:val="Para1"/>
        <w:keepNext/>
        <w:keepLines/>
        <w:numPr>
          <w:ilvl w:val="0"/>
          <w:numId w:val="0"/>
        </w:numPr>
        <w:shd w:val="clear" w:color="auto" w:fill="FFFFFF" w:themeFill="background1"/>
        <w:spacing w:before="240" w:after="240"/>
        <w:jc w:val="center"/>
        <w:outlineLvl w:val="2"/>
        <w:rPr>
          <w:b/>
          <w:bCs/>
          <w:lang w:val="ru-RU"/>
        </w:rPr>
      </w:pPr>
      <w:r w:rsidRPr="009A6A9B">
        <w:rPr>
          <w:b/>
          <w:lang w:val="ru-RU"/>
        </w:rPr>
        <w:t>B.</w:t>
      </w:r>
      <w:r w:rsidRPr="009A6A9B">
        <w:rPr>
          <w:b/>
          <w:lang w:val="ru-RU"/>
        </w:rPr>
        <w:tab/>
        <w:t>Повышение осведомленности</w:t>
      </w:r>
    </w:p>
    <w:p w14:paraId="71AC5E19" w14:textId="77777777" w:rsidR="00371DDB" w:rsidRPr="009A6A9B" w:rsidRDefault="00371DDB" w:rsidP="00371DDB">
      <w:pPr>
        <w:keepNext/>
        <w:keepLines/>
        <w:suppressLineNumbers/>
        <w:shd w:val="clear" w:color="auto" w:fill="FFFFFF" w:themeFill="background1"/>
        <w:suppressAutoHyphens/>
        <w:kinsoku w:val="0"/>
        <w:overflowPunct w:val="0"/>
        <w:autoSpaceDE w:val="0"/>
        <w:autoSpaceDN w:val="0"/>
        <w:adjustRightInd w:val="0"/>
        <w:snapToGrid w:val="0"/>
        <w:spacing w:before="240" w:after="120"/>
        <w:ind w:firstLine="709"/>
        <w:rPr>
          <w:i/>
          <w:kern w:val="22"/>
          <w:szCs w:val="22"/>
          <w:lang w:val="ru-RU"/>
        </w:rPr>
      </w:pPr>
      <w:r w:rsidRPr="009A6A9B">
        <w:rPr>
          <w:i/>
          <w:lang w:val="ru-RU"/>
        </w:rPr>
        <w:t>Конференция Сторон, выступающая в качестве совещания Сторон Нагойского протокола,</w:t>
      </w:r>
    </w:p>
    <w:p w14:paraId="7CA2E49B" w14:textId="77777777" w:rsidR="00371DDB" w:rsidRPr="009A6A9B" w:rsidRDefault="00371DDB" w:rsidP="00371DDB">
      <w:pPr>
        <w:suppressLineNumbers/>
        <w:shd w:val="clear" w:color="auto" w:fill="FFFFFF" w:themeFill="background1"/>
        <w:tabs>
          <w:tab w:val="left" w:pos="360"/>
        </w:tabs>
        <w:suppressAutoHyphens/>
        <w:snapToGrid w:val="0"/>
        <w:spacing w:before="120" w:after="120"/>
        <w:ind w:firstLine="720"/>
        <w:rPr>
          <w:snapToGrid w:val="0"/>
          <w:kern w:val="22"/>
          <w:szCs w:val="22"/>
          <w:lang w:val="ru-RU"/>
        </w:rPr>
      </w:pPr>
      <w:r w:rsidRPr="009A6A9B">
        <w:rPr>
          <w:snapToGrid w:val="0"/>
          <w:lang w:val="ru-RU"/>
        </w:rPr>
        <w:t>1.</w:t>
      </w:r>
      <w:r w:rsidRPr="009A6A9B">
        <w:rPr>
          <w:snapToGrid w:val="0"/>
          <w:lang w:val="ru-RU"/>
        </w:rPr>
        <w:tab/>
      </w:r>
      <w:r w:rsidRPr="009A6A9B">
        <w:rPr>
          <w:i/>
          <w:snapToGrid w:val="0"/>
          <w:lang w:val="ru-RU"/>
        </w:rPr>
        <w:t xml:space="preserve">приветствует </w:t>
      </w:r>
      <w:r w:rsidRPr="007E4067">
        <w:rPr>
          <w:snapToGrid w:val="0"/>
          <w:lang w:val="ru-RU"/>
        </w:rPr>
        <w:t>прогресс</w:t>
      </w:r>
      <w:r w:rsidRPr="009A6A9B">
        <w:rPr>
          <w:snapToGrid w:val="0"/>
          <w:lang w:val="ru-RU"/>
        </w:rPr>
        <w:t>, достигнутый в осуществлении стратегии повышения осведомленности</w:t>
      </w:r>
      <w:r w:rsidRPr="009A6A9B">
        <w:rPr>
          <w:rFonts w:cs="Angsana New"/>
          <w:snapToGrid w:val="0"/>
          <w:kern w:val="22"/>
          <w:szCs w:val="22"/>
          <w:vertAlign w:val="superscript"/>
          <w:lang w:val="ru-RU"/>
        </w:rPr>
        <w:footnoteReference w:id="6"/>
      </w:r>
      <w:r w:rsidRPr="009A6A9B">
        <w:rPr>
          <w:snapToGrid w:val="0"/>
          <w:lang w:val="ru-RU"/>
        </w:rPr>
        <w:t xml:space="preserve"> для Нагойского протокола;</w:t>
      </w:r>
    </w:p>
    <w:p w14:paraId="10291482" w14:textId="77777777" w:rsidR="00371DDB" w:rsidRPr="009A6A9B" w:rsidRDefault="00371DDB" w:rsidP="00371DDB">
      <w:pPr>
        <w:suppressLineNumbers/>
        <w:shd w:val="clear" w:color="auto" w:fill="FFFFFF" w:themeFill="background1"/>
        <w:tabs>
          <w:tab w:val="left" w:pos="360"/>
        </w:tabs>
        <w:suppressAutoHyphens/>
        <w:snapToGrid w:val="0"/>
        <w:spacing w:before="120" w:after="120"/>
        <w:ind w:firstLine="720"/>
        <w:rPr>
          <w:rFonts w:cs="Angsana New"/>
          <w:snapToGrid w:val="0"/>
          <w:kern w:val="22"/>
          <w:szCs w:val="22"/>
          <w:lang w:val="ru-RU"/>
        </w:rPr>
      </w:pPr>
      <w:r w:rsidRPr="009A6A9B">
        <w:rPr>
          <w:snapToGrid w:val="0"/>
          <w:lang w:val="ru-RU"/>
        </w:rPr>
        <w:t>2.</w:t>
      </w:r>
      <w:r w:rsidRPr="009A6A9B">
        <w:rPr>
          <w:snapToGrid w:val="0"/>
          <w:lang w:val="ru-RU"/>
        </w:rPr>
        <w:tab/>
      </w:r>
      <w:r w:rsidRPr="009A6A9B">
        <w:rPr>
          <w:i/>
          <w:iCs/>
          <w:snapToGrid w:val="0"/>
          <w:lang w:val="ru-RU"/>
        </w:rPr>
        <w:t>принимает к сведению</w:t>
      </w:r>
      <w:r w:rsidRPr="009A6A9B">
        <w:rPr>
          <w:snapToGrid w:val="0"/>
          <w:lang w:val="ru-RU"/>
        </w:rPr>
        <w:t xml:space="preserve"> обратную связь, полученную от Сторон, других правительств и других соответствующих субъектов деятельности относительно набора коммуникационных средств для повышения осведомленности по вопросам доступа к генетическим ресурсам и совместного </w:t>
      </w:r>
      <w:r w:rsidRPr="009A6A9B">
        <w:rPr>
          <w:snapToGrid w:val="0"/>
          <w:lang w:val="ru-RU"/>
        </w:rPr>
        <w:lastRenderedPageBreak/>
        <w:t>использования выгод</w:t>
      </w:r>
      <w:r w:rsidRPr="009A6A9B">
        <w:rPr>
          <w:rFonts w:cs="Angsana New"/>
          <w:snapToGrid w:val="0"/>
          <w:kern w:val="22"/>
          <w:szCs w:val="22"/>
          <w:vertAlign w:val="superscript"/>
          <w:lang w:val="ru-RU"/>
        </w:rPr>
        <w:footnoteReference w:id="7"/>
      </w:r>
      <w:r w:rsidRPr="009A6A9B">
        <w:rPr>
          <w:snapToGrid w:val="0"/>
          <w:lang w:val="ru-RU"/>
        </w:rPr>
        <w:t xml:space="preserve"> и призывает Стороны, другие правительства, соответствующие организации и других субъектов деятельности и далее применять этот набор в рамках своих мероприятий по повышению осведомленности и наращиванию потенциала;</w:t>
      </w:r>
    </w:p>
    <w:p w14:paraId="13047EFE" w14:textId="35C6A214" w:rsidR="00371DDB" w:rsidRPr="009A6A9B" w:rsidRDefault="00371DDB" w:rsidP="00371DDB">
      <w:pPr>
        <w:suppressLineNumbers/>
        <w:shd w:val="clear" w:color="auto" w:fill="FFFFFF" w:themeFill="background1"/>
        <w:tabs>
          <w:tab w:val="left" w:pos="360"/>
        </w:tabs>
        <w:suppressAutoHyphens/>
        <w:snapToGrid w:val="0"/>
        <w:spacing w:before="120" w:after="120"/>
        <w:ind w:firstLine="720"/>
        <w:rPr>
          <w:rFonts w:cs="Angsana New"/>
          <w:snapToGrid w:val="0"/>
          <w:szCs w:val="18"/>
          <w:lang w:val="ru-RU"/>
        </w:rPr>
      </w:pPr>
      <w:r w:rsidRPr="009A6A9B">
        <w:rPr>
          <w:snapToGrid w:val="0"/>
          <w:lang w:val="ru-RU"/>
        </w:rPr>
        <w:t>3.</w:t>
      </w:r>
      <w:r w:rsidRPr="009A6A9B">
        <w:rPr>
          <w:snapToGrid w:val="0"/>
          <w:lang w:val="ru-RU"/>
        </w:rPr>
        <w:tab/>
      </w:r>
      <w:r w:rsidRPr="009A6A9B">
        <w:rPr>
          <w:i/>
          <w:snapToGrid w:val="0"/>
          <w:lang w:val="ru-RU"/>
        </w:rPr>
        <w:t>приветствует</w:t>
      </w:r>
      <w:r w:rsidRPr="009A6A9B">
        <w:rPr>
          <w:snapToGrid w:val="0"/>
          <w:lang w:val="ru-RU"/>
        </w:rPr>
        <w:t xml:space="preserve"> коммуникационную стратегию в поддержку </w:t>
      </w:r>
      <w:proofErr w:type="spellStart"/>
      <w:r w:rsidRPr="009A6A9B">
        <w:rPr>
          <w:lang w:val="ru-RU"/>
        </w:rPr>
        <w:t>Куньминско</w:t>
      </w:r>
      <w:proofErr w:type="spellEnd"/>
      <w:r w:rsidRPr="009A6A9B">
        <w:rPr>
          <w:lang w:val="ru-RU"/>
        </w:rPr>
        <w:t>-Монреальской глобальной рамочной программы в области биоразнообразия</w:t>
      </w:r>
      <w:r w:rsidRPr="009A6A9B">
        <w:rPr>
          <w:rStyle w:val="FootnoteReference"/>
          <w:iCs/>
          <w:kern w:val="22"/>
          <w:szCs w:val="22"/>
          <w:lang w:val="ru-RU" w:eastAsia="en-CA"/>
        </w:rPr>
        <w:footnoteReference w:id="8"/>
      </w:r>
      <w:r w:rsidRPr="009A6A9B">
        <w:rPr>
          <w:snapToGrid w:val="0"/>
          <w:lang w:val="ru-RU"/>
        </w:rPr>
        <w:t xml:space="preserve"> в качестве важного элемента в том числе для повышения осведомленности по вопросам доступа к генетическим ресурсам и совместного использования выгод и соответствующих целей и задач </w:t>
      </w:r>
      <w:proofErr w:type="spellStart"/>
      <w:r w:rsidRPr="009A6A9B">
        <w:rPr>
          <w:lang w:val="ru-RU"/>
        </w:rPr>
        <w:t>Куньминско</w:t>
      </w:r>
      <w:proofErr w:type="spellEnd"/>
      <w:r w:rsidRPr="009A6A9B">
        <w:rPr>
          <w:lang w:val="ru-RU"/>
        </w:rPr>
        <w:t>-Монреальской глобальной рамочной программы в области биоразнообразия</w:t>
      </w:r>
      <w:r w:rsidRPr="009A6A9B">
        <w:rPr>
          <w:snapToGrid w:val="0"/>
          <w:lang w:val="ru-RU"/>
        </w:rPr>
        <w:t>;</w:t>
      </w:r>
    </w:p>
    <w:p w14:paraId="2E889FDB" w14:textId="77777777" w:rsidR="00371DDB" w:rsidRPr="009A6A9B" w:rsidRDefault="00371DDB" w:rsidP="00371DDB">
      <w:pPr>
        <w:suppressLineNumbers/>
        <w:shd w:val="clear" w:color="auto" w:fill="FFFFFF" w:themeFill="background1"/>
        <w:tabs>
          <w:tab w:val="left" w:pos="360"/>
        </w:tabs>
        <w:suppressAutoHyphens/>
        <w:snapToGrid w:val="0"/>
        <w:spacing w:before="120" w:after="120"/>
        <w:ind w:firstLine="720"/>
        <w:rPr>
          <w:rFonts w:cs="Angsana New"/>
          <w:snapToGrid w:val="0"/>
          <w:kern w:val="22"/>
          <w:szCs w:val="18"/>
          <w:lang w:val="ru-RU"/>
        </w:rPr>
      </w:pPr>
      <w:r w:rsidRPr="009A6A9B">
        <w:rPr>
          <w:snapToGrid w:val="0"/>
          <w:lang w:val="ru-RU"/>
        </w:rPr>
        <w:t>4.</w:t>
      </w:r>
      <w:r w:rsidRPr="009A6A9B">
        <w:rPr>
          <w:snapToGrid w:val="0"/>
          <w:lang w:val="ru-RU"/>
        </w:rPr>
        <w:tab/>
      </w:r>
      <w:r w:rsidRPr="009A6A9B">
        <w:rPr>
          <w:i/>
          <w:iCs/>
          <w:snapToGrid w:val="0"/>
          <w:lang w:val="ru-RU"/>
        </w:rPr>
        <w:t>призывает</w:t>
      </w:r>
      <w:r w:rsidRPr="009A6A9B">
        <w:rPr>
          <w:snapToGrid w:val="0"/>
          <w:lang w:val="ru-RU"/>
        </w:rPr>
        <w:t xml:space="preserve"> Стороны, другие правительства, соответствующие организации и других субъектов деятельности продолжать осуществление информационно-разъяснительных мероприятий и </w:t>
      </w:r>
      <w:bookmarkStart w:id="1" w:name="_Hlk126059721"/>
      <w:r w:rsidRPr="009A6A9B">
        <w:rPr>
          <w:snapToGrid w:val="0"/>
          <w:lang w:val="ru-RU"/>
        </w:rPr>
        <w:t>публиковать информацию об инструментах и ресурсах в области повышения осведомленности в Механизме посредничества для регулирования доступа к генетическим ресурсам и совместного использования выгод</w:t>
      </w:r>
      <w:bookmarkEnd w:id="1"/>
      <w:r w:rsidRPr="009A6A9B">
        <w:rPr>
          <w:snapToGrid w:val="0"/>
          <w:lang w:val="ru-RU"/>
        </w:rPr>
        <w:t>;</w:t>
      </w:r>
    </w:p>
    <w:p w14:paraId="4A695645" w14:textId="37B15FED" w:rsidR="00371DDB" w:rsidRPr="009A6A9B" w:rsidRDefault="00371DDB" w:rsidP="00371DDB">
      <w:pPr>
        <w:suppressLineNumbers/>
        <w:shd w:val="clear" w:color="auto" w:fill="FFFFFF" w:themeFill="background1"/>
        <w:tabs>
          <w:tab w:val="left" w:pos="360"/>
        </w:tabs>
        <w:suppressAutoHyphens/>
        <w:snapToGrid w:val="0"/>
        <w:spacing w:before="120" w:after="120"/>
        <w:ind w:firstLine="720"/>
        <w:rPr>
          <w:rFonts w:cs="Angsana New"/>
          <w:snapToGrid w:val="0"/>
          <w:kern w:val="22"/>
          <w:szCs w:val="18"/>
          <w:lang w:val="ru-RU"/>
        </w:rPr>
      </w:pPr>
      <w:r w:rsidRPr="009A6A9B">
        <w:rPr>
          <w:snapToGrid w:val="0"/>
          <w:lang w:val="ru-RU"/>
        </w:rPr>
        <w:t>5.</w:t>
      </w:r>
      <w:r w:rsidRPr="009A6A9B">
        <w:rPr>
          <w:snapToGrid w:val="0"/>
          <w:lang w:val="ru-RU"/>
        </w:rPr>
        <w:tab/>
      </w:r>
      <w:r w:rsidRPr="009A6A9B">
        <w:rPr>
          <w:i/>
          <w:snapToGrid w:val="0"/>
          <w:lang w:val="ru-RU"/>
        </w:rPr>
        <w:t>поручает Исполнительному</w:t>
      </w:r>
      <w:r w:rsidRPr="009A6A9B">
        <w:rPr>
          <w:snapToGrid w:val="0"/>
          <w:lang w:val="ru-RU"/>
        </w:rPr>
        <w:t xml:space="preserve"> секретарю и далее содействовать осуществлению стратегии повышения осведомленности посредством мероприятий по созданию и развитию потенциала и путем поощрения использования набора коммуникационных средств для повышения осведомленности по вопросам доступа к генетическим ресурсам и совместного использования выгод в соответствующих проектах по созданию и развитию потенциала и повышению осведомленности, осуществляемых Сторонами, другими правительствами и соответствующими организациями;</w:t>
      </w:r>
    </w:p>
    <w:p w14:paraId="461F7A5F" w14:textId="77777777" w:rsidR="00371DDB" w:rsidRPr="009A6A9B" w:rsidRDefault="00371DDB" w:rsidP="00371DDB">
      <w:pPr>
        <w:suppressLineNumbers/>
        <w:shd w:val="clear" w:color="auto" w:fill="FFFFFF" w:themeFill="background1"/>
        <w:tabs>
          <w:tab w:val="left" w:pos="360"/>
        </w:tabs>
        <w:suppressAutoHyphens/>
        <w:snapToGrid w:val="0"/>
        <w:spacing w:before="120" w:after="120"/>
        <w:ind w:firstLine="720"/>
        <w:rPr>
          <w:rFonts w:cs="Angsana New"/>
          <w:snapToGrid w:val="0"/>
          <w:kern w:val="22"/>
          <w:szCs w:val="18"/>
          <w:lang w:val="ru-RU"/>
        </w:rPr>
      </w:pPr>
      <w:r w:rsidRPr="009A6A9B">
        <w:rPr>
          <w:snapToGrid w:val="0"/>
          <w:lang w:val="ru-RU"/>
        </w:rPr>
        <w:t>6.</w:t>
      </w:r>
      <w:r w:rsidRPr="009A6A9B">
        <w:rPr>
          <w:snapToGrid w:val="0"/>
          <w:lang w:val="ru-RU"/>
        </w:rPr>
        <w:tab/>
      </w:r>
      <w:r w:rsidRPr="009A6A9B">
        <w:rPr>
          <w:i/>
          <w:snapToGrid w:val="0"/>
          <w:lang w:val="ru-RU"/>
        </w:rPr>
        <w:t>также поручает</w:t>
      </w:r>
      <w:r w:rsidRPr="009A6A9B">
        <w:rPr>
          <w:snapToGrid w:val="0"/>
          <w:lang w:val="ru-RU"/>
        </w:rPr>
        <w:t xml:space="preserve"> Исполнительному секретарю рассмотреть возможность включения элементов стратегии повышения осведомленности при пересмотре стратегической структуры для создания и развития потенциала в поддержку эффективного осуществления Нагойского протокола для рассмотрения Вспомогательным органом по осуществлению на его четвертом совещании и для принятия Конференцией Сторон, выступающей в качестве совещания Сторон Нагойского протокола, на ее пятом совещании.</w:t>
      </w:r>
    </w:p>
    <w:p w14:paraId="40A6582B" w14:textId="77777777" w:rsidR="00371DDB" w:rsidRPr="009A6A9B" w:rsidRDefault="00371DDB" w:rsidP="00371DDB">
      <w:pPr>
        <w:jc w:val="left"/>
        <w:rPr>
          <w:rFonts w:cs="Angsana New"/>
          <w:snapToGrid w:val="0"/>
          <w:kern w:val="22"/>
          <w:szCs w:val="18"/>
          <w:lang w:val="ru-RU"/>
        </w:rPr>
      </w:pPr>
      <w:r w:rsidRPr="009A6A9B">
        <w:rPr>
          <w:lang w:val="ru-RU"/>
        </w:rPr>
        <w:br w:type="page"/>
      </w:r>
    </w:p>
    <w:p w14:paraId="4891324D" w14:textId="77777777" w:rsidR="00371DDB" w:rsidRPr="009A6A9B" w:rsidRDefault="00371DDB" w:rsidP="00371DDB">
      <w:pPr>
        <w:pStyle w:val="ListParagraph"/>
        <w:keepNext/>
        <w:suppressAutoHyphens/>
        <w:spacing w:before="240" w:after="120"/>
        <w:ind w:left="0"/>
        <w:jc w:val="center"/>
        <w:outlineLvl w:val="2"/>
        <w:rPr>
          <w:i/>
          <w:kern w:val="22"/>
          <w:szCs w:val="22"/>
          <w:bdr w:val="none" w:sz="0" w:space="0" w:color="auto" w:frame="1"/>
          <w:lang w:val="ru-RU"/>
        </w:rPr>
      </w:pPr>
      <w:bookmarkStart w:id="2" w:name="_Toc118407980"/>
      <w:r w:rsidRPr="009A6A9B">
        <w:rPr>
          <w:i/>
          <w:bdr w:val="none" w:sz="0" w:space="0" w:color="auto" w:frame="1"/>
          <w:lang w:val="ru-RU"/>
        </w:rPr>
        <w:lastRenderedPageBreak/>
        <w:t>Приложение</w:t>
      </w:r>
      <w:bookmarkEnd w:id="2"/>
    </w:p>
    <w:p w14:paraId="05439529" w14:textId="77777777" w:rsidR="00371DDB" w:rsidRPr="009A6A9B" w:rsidRDefault="00371DDB" w:rsidP="00371DDB">
      <w:pPr>
        <w:pStyle w:val="HEADINGNOTFORTOC"/>
        <w:outlineLvl w:val="9"/>
        <w:rPr>
          <w:szCs w:val="22"/>
          <w:bdr w:val="none" w:sz="0" w:space="0" w:color="auto" w:frame="1"/>
          <w:lang w:val="ru-RU"/>
        </w:rPr>
      </w:pPr>
      <w:bookmarkStart w:id="3" w:name="_Toc118407981"/>
      <w:r w:rsidRPr="009A6A9B">
        <w:rPr>
          <w:bdr w:val="none" w:sz="0" w:space="0" w:color="auto" w:frame="1"/>
          <w:lang w:val="ru-RU"/>
        </w:rPr>
        <w:t>Конкретные приоритеты для дальнейшего создания и развития потенциала в поддержку осуществления Нагойского протокола</w:t>
      </w:r>
      <w:bookmarkEnd w:id="3"/>
    </w:p>
    <w:p w14:paraId="0CBDE990" w14:textId="77777777" w:rsidR="00371DDB" w:rsidRPr="009A6A9B" w:rsidRDefault="00371DDB" w:rsidP="00371DDB">
      <w:pPr>
        <w:pStyle w:val="ListParagraph"/>
        <w:suppressLineNumbers/>
        <w:suppressAutoHyphens/>
        <w:spacing w:before="120" w:after="120"/>
        <w:ind w:left="0" w:firstLine="720"/>
        <w:rPr>
          <w:kern w:val="22"/>
          <w:szCs w:val="22"/>
          <w:bdr w:val="none" w:sz="0" w:space="0" w:color="auto" w:frame="1"/>
          <w:lang w:val="ru-RU"/>
        </w:rPr>
      </w:pPr>
      <w:r w:rsidRPr="009A6A9B">
        <w:rPr>
          <w:bdr w:val="none" w:sz="0" w:space="0" w:color="auto" w:frame="1"/>
          <w:lang w:val="ru-RU"/>
        </w:rPr>
        <w:t>Конкретные приоритеты для дальнейшего создания и развития потенциала, выявленные в ходе оценки и обзора Нагойского протокола, включают в себя следующие элементы</w:t>
      </w:r>
      <w:r w:rsidRPr="009A6A9B">
        <w:rPr>
          <w:rStyle w:val="FootnoteReference"/>
          <w:kern w:val="22"/>
          <w:szCs w:val="22"/>
          <w:bdr w:val="none" w:sz="0" w:space="0" w:color="auto" w:frame="1"/>
          <w:lang w:val="ru-RU"/>
        </w:rPr>
        <w:footnoteReference w:id="9"/>
      </w:r>
      <w:r w:rsidRPr="009A6A9B">
        <w:rPr>
          <w:bdr w:val="none" w:sz="0" w:space="0" w:color="auto" w:frame="1"/>
          <w:lang w:val="ru-RU"/>
        </w:rPr>
        <w:t>:</w:t>
      </w:r>
    </w:p>
    <w:p w14:paraId="6CB5FE78" w14:textId="77777777" w:rsidR="00371DDB" w:rsidRPr="009A6A9B" w:rsidRDefault="00371DDB" w:rsidP="00371DDB">
      <w:pPr>
        <w:pStyle w:val="Para1"/>
        <w:numPr>
          <w:ilvl w:val="0"/>
          <w:numId w:val="0"/>
        </w:numPr>
        <w:suppressLineNumbers/>
        <w:suppressAutoHyphens/>
        <w:kinsoku w:val="0"/>
        <w:overflowPunct w:val="0"/>
        <w:autoSpaceDE w:val="0"/>
        <w:autoSpaceDN w:val="0"/>
        <w:spacing w:before="0"/>
        <w:ind w:firstLine="720"/>
        <w:rPr>
          <w:kern w:val="22"/>
          <w:szCs w:val="22"/>
          <w:lang w:val="ru-RU"/>
        </w:rPr>
      </w:pPr>
      <w:r w:rsidRPr="009A6A9B">
        <w:rPr>
          <w:rFonts w:hAnsi="Arial Unicode MS"/>
          <w:color w:val="000000"/>
          <w:lang w:val="ru-RU"/>
        </w:rPr>
        <w:t>(a)</w:t>
      </w:r>
      <w:r w:rsidRPr="009A6A9B">
        <w:rPr>
          <w:rFonts w:hAnsi="Arial Unicode MS"/>
          <w:color w:val="000000"/>
          <w:lang w:val="ru-RU"/>
        </w:rPr>
        <w:tab/>
      </w:r>
      <w:r w:rsidRPr="009A6A9B">
        <w:rPr>
          <w:lang w:val="ru-RU"/>
        </w:rPr>
        <w:t>разработка законодательства или регулятивных требований в отношении доступа к генетическим ресурсам и совместного использование выгод, с учетом статьи 8 Протокола и необходимости обеспечить осуществление протокола и других соответствующих международных документов на взаимодополняющей основе;</w:t>
      </w:r>
    </w:p>
    <w:p w14:paraId="1CF03489" w14:textId="77777777" w:rsidR="00371DDB" w:rsidRPr="009A6A9B" w:rsidRDefault="00371DDB" w:rsidP="00371DDB">
      <w:pPr>
        <w:pStyle w:val="Para1"/>
        <w:numPr>
          <w:ilvl w:val="0"/>
          <w:numId w:val="0"/>
        </w:numPr>
        <w:suppressLineNumbers/>
        <w:suppressAutoHyphens/>
        <w:kinsoku w:val="0"/>
        <w:overflowPunct w:val="0"/>
        <w:autoSpaceDE w:val="0"/>
        <w:autoSpaceDN w:val="0"/>
        <w:spacing w:before="0"/>
        <w:ind w:firstLine="720"/>
        <w:rPr>
          <w:kern w:val="22"/>
          <w:szCs w:val="22"/>
          <w:lang w:val="ru-RU"/>
        </w:rPr>
      </w:pPr>
      <w:r w:rsidRPr="009A6A9B">
        <w:rPr>
          <w:rFonts w:hAnsi="Arial Unicode MS"/>
          <w:color w:val="000000"/>
          <w:lang w:val="ru-RU"/>
        </w:rPr>
        <w:t>(b)</w:t>
      </w:r>
      <w:r w:rsidRPr="009A6A9B">
        <w:rPr>
          <w:rFonts w:hAnsi="Arial Unicode MS"/>
          <w:color w:val="000000"/>
          <w:lang w:val="ru-RU"/>
        </w:rPr>
        <w:tab/>
      </w:r>
      <w:r w:rsidRPr="009A6A9B">
        <w:rPr>
          <w:lang w:val="ru-RU"/>
        </w:rPr>
        <w:t>активизация осуществления положений о соблюдении внутреннего законодательства и регулятивных требований в отношении доступа к генетическим ресурсам и совместного использования выгод, мониторинга использования генетических ресурсов, включая назначение контрольных пунктов, а также положений, касающихся коренных народов и местных общин;</w:t>
      </w:r>
    </w:p>
    <w:p w14:paraId="461C37D2" w14:textId="77777777" w:rsidR="00371DDB" w:rsidRPr="009A6A9B" w:rsidRDefault="00371DDB" w:rsidP="00371DDB">
      <w:pPr>
        <w:pStyle w:val="Para1"/>
        <w:numPr>
          <w:ilvl w:val="0"/>
          <w:numId w:val="0"/>
        </w:numPr>
        <w:suppressLineNumbers/>
        <w:suppressAutoHyphens/>
        <w:kinsoku w:val="0"/>
        <w:overflowPunct w:val="0"/>
        <w:autoSpaceDE w:val="0"/>
        <w:autoSpaceDN w:val="0"/>
        <w:spacing w:before="0"/>
        <w:ind w:firstLine="720"/>
        <w:rPr>
          <w:kern w:val="22"/>
          <w:szCs w:val="22"/>
          <w:lang w:val="ru-RU"/>
        </w:rPr>
      </w:pPr>
      <w:r w:rsidRPr="009A6A9B">
        <w:rPr>
          <w:rFonts w:hAnsi="Arial Unicode MS"/>
          <w:color w:val="000000"/>
          <w:lang w:val="ru-RU"/>
        </w:rPr>
        <w:t>(c)</w:t>
      </w:r>
      <w:r w:rsidRPr="009A6A9B">
        <w:rPr>
          <w:rFonts w:hAnsi="Arial Unicode MS"/>
          <w:color w:val="000000"/>
          <w:lang w:val="ru-RU"/>
        </w:rPr>
        <w:tab/>
      </w:r>
      <w:r w:rsidRPr="009A6A9B">
        <w:rPr>
          <w:lang w:val="ru-RU"/>
        </w:rPr>
        <w:t>содействие участию коренных народов и местных общин в осуществлении Протокола, в том числе путем оказания поддержки разработке коренными народами и местными общинами общинных протоколов и процедур, минимальных требований к взаимосогласованным условиям и типовых договорных положений о совместном использовании выгод от применения традиционных знаний, связанных с генетическими ресурсами, принимая во внимание их обычное право;</w:t>
      </w:r>
    </w:p>
    <w:p w14:paraId="43965B24" w14:textId="77777777" w:rsidR="00371DDB" w:rsidRPr="009A6A9B" w:rsidRDefault="00371DDB" w:rsidP="00371DDB">
      <w:pPr>
        <w:pStyle w:val="Para1"/>
        <w:numPr>
          <w:ilvl w:val="0"/>
          <w:numId w:val="0"/>
        </w:numPr>
        <w:suppressLineNumbers/>
        <w:suppressAutoHyphens/>
        <w:kinsoku w:val="0"/>
        <w:overflowPunct w:val="0"/>
        <w:autoSpaceDE w:val="0"/>
        <w:autoSpaceDN w:val="0"/>
        <w:spacing w:before="0"/>
        <w:ind w:firstLine="720"/>
        <w:rPr>
          <w:kern w:val="22"/>
          <w:szCs w:val="22"/>
          <w:lang w:val="ru-RU"/>
        </w:rPr>
      </w:pPr>
      <w:r w:rsidRPr="009A6A9B">
        <w:rPr>
          <w:rFonts w:hAnsi="Arial Unicode MS"/>
          <w:color w:val="000000"/>
          <w:lang w:val="ru-RU"/>
        </w:rPr>
        <w:t>(d)</w:t>
      </w:r>
      <w:r w:rsidRPr="009A6A9B">
        <w:rPr>
          <w:rFonts w:hAnsi="Arial Unicode MS"/>
          <w:color w:val="000000"/>
          <w:lang w:val="ru-RU"/>
        </w:rPr>
        <w:tab/>
      </w:r>
      <w:r w:rsidRPr="009A6A9B">
        <w:rPr>
          <w:lang w:val="ru-RU"/>
        </w:rPr>
        <w:t>повышение осведомленности среди заинтересованных сторон и соответствующих субъектов деятельности и поощрение их участия в осуществлении Протокола;</w:t>
      </w:r>
    </w:p>
    <w:p w14:paraId="7A334479" w14:textId="67843D30" w:rsidR="00371DDB" w:rsidRPr="009A6A9B" w:rsidRDefault="00371DDB" w:rsidP="00371DDB">
      <w:pPr>
        <w:pStyle w:val="Para1"/>
        <w:numPr>
          <w:ilvl w:val="0"/>
          <w:numId w:val="0"/>
        </w:numPr>
        <w:suppressLineNumbers/>
        <w:suppressAutoHyphens/>
        <w:kinsoku w:val="0"/>
        <w:overflowPunct w:val="0"/>
        <w:autoSpaceDE w:val="0"/>
        <w:autoSpaceDN w:val="0"/>
        <w:spacing w:before="0"/>
        <w:ind w:firstLine="720"/>
        <w:rPr>
          <w:kern w:val="22"/>
          <w:szCs w:val="22"/>
          <w:lang w:val="ru-RU"/>
        </w:rPr>
      </w:pPr>
      <w:r w:rsidRPr="009A6A9B">
        <w:rPr>
          <w:rFonts w:hAnsi="Arial Unicode MS"/>
          <w:color w:val="000000"/>
          <w:lang w:val="ru-RU"/>
        </w:rPr>
        <w:t>(e)</w:t>
      </w:r>
      <w:r w:rsidRPr="009A6A9B">
        <w:rPr>
          <w:rFonts w:hAnsi="Arial Unicode MS"/>
          <w:color w:val="000000"/>
          <w:lang w:val="ru-RU"/>
        </w:rPr>
        <w:tab/>
      </w:r>
      <w:r w:rsidRPr="009A6A9B">
        <w:rPr>
          <w:lang w:val="ru-RU"/>
        </w:rPr>
        <w:t>потребности в области создания и развития потенциала применительно к измерению как денежных, так и неденежных выгод, возникающих в результате использования генетических ресурсов и традиционных знаний, связанных с генетическими ресурсами, и представлени</w:t>
      </w:r>
      <w:r w:rsidR="007E4067">
        <w:rPr>
          <w:lang w:val="ru-RU"/>
        </w:rPr>
        <w:t>ю</w:t>
      </w:r>
      <w:r w:rsidRPr="009A6A9B">
        <w:rPr>
          <w:lang w:val="ru-RU"/>
        </w:rPr>
        <w:t xml:space="preserve"> соответствующей отчетности;</w:t>
      </w:r>
      <w:r w:rsidRPr="009A6A9B">
        <w:rPr>
          <w:bdr w:val="none" w:sz="0" w:space="0" w:color="auto" w:frame="1"/>
          <w:lang w:val="ru-RU"/>
        </w:rPr>
        <w:t xml:space="preserve"> </w:t>
      </w:r>
    </w:p>
    <w:p w14:paraId="1BD6D257" w14:textId="0EB3A2AC" w:rsidR="00371DDB" w:rsidRPr="009A6A9B" w:rsidRDefault="00371DDB" w:rsidP="00371DDB">
      <w:pPr>
        <w:pStyle w:val="Para1"/>
        <w:numPr>
          <w:ilvl w:val="0"/>
          <w:numId w:val="0"/>
        </w:numPr>
        <w:suppressLineNumbers/>
        <w:suppressAutoHyphens/>
        <w:kinsoku w:val="0"/>
        <w:overflowPunct w:val="0"/>
        <w:autoSpaceDE w:val="0"/>
        <w:autoSpaceDN w:val="0"/>
        <w:spacing w:before="0"/>
        <w:ind w:firstLine="720"/>
        <w:rPr>
          <w:kern w:val="22"/>
          <w:szCs w:val="22"/>
          <w:bdr w:val="none" w:sz="0" w:space="0" w:color="auto" w:frame="1"/>
          <w:lang w:val="ru-RU"/>
        </w:rPr>
      </w:pPr>
      <w:r w:rsidRPr="009A6A9B">
        <w:rPr>
          <w:rFonts w:hAnsi="Arial Unicode MS"/>
          <w:color w:val="000000"/>
          <w:lang w:val="ru-RU"/>
        </w:rPr>
        <w:t>(f)</w:t>
      </w:r>
      <w:r w:rsidRPr="009A6A9B">
        <w:rPr>
          <w:rFonts w:hAnsi="Arial Unicode MS"/>
          <w:color w:val="000000"/>
          <w:lang w:val="ru-RU"/>
        </w:rPr>
        <w:tab/>
      </w:r>
      <w:r w:rsidRPr="009A6A9B">
        <w:rPr>
          <w:lang w:val="ru-RU"/>
        </w:rPr>
        <w:t xml:space="preserve">стратегическая коммуникация на </w:t>
      </w:r>
      <w:r w:rsidRPr="009A6A9B">
        <w:rPr>
          <w:bdr w:val="none" w:sz="0" w:space="0" w:color="auto" w:frame="1"/>
          <w:lang w:val="ru-RU"/>
        </w:rPr>
        <w:t>глобальном, региональном и национальном уровнях в отношении доступа к генетическим ресурсам и совместного использования выгод, как область для создания и развития потенциала.</w:t>
      </w:r>
    </w:p>
    <w:p w14:paraId="1B501B2A" w14:textId="3FF7813E" w:rsidR="00371DDB" w:rsidRPr="009A6A9B" w:rsidRDefault="00371DDB" w:rsidP="00371DDB">
      <w:pPr>
        <w:pStyle w:val="Para1"/>
        <w:numPr>
          <w:ilvl w:val="0"/>
          <w:numId w:val="0"/>
        </w:numPr>
        <w:suppressLineNumbers/>
        <w:suppressAutoHyphens/>
        <w:kinsoku w:val="0"/>
        <w:overflowPunct w:val="0"/>
        <w:autoSpaceDE w:val="0"/>
        <w:autoSpaceDN w:val="0"/>
        <w:spacing w:before="0"/>
        <w:ind w:firstLine="720"/>
        <w:rPr>
          <w:lang w:val="ru-RU"/>
        </w:rPr>
      </w:pPr>
      <w:r w:rsidRPr="009A6A9B">
        <w:rPr>
          <w:bdr w:val="none" w:sz="0" w:space="0" w:color="auto" w:frame="1"/>
          <w:lang w:val="ru-RU"/>
        </w:rPr>
        <w:t>(g)</w:t>
      </w:r>
      <w:r w:rsidRPr="009A6A9B">
        <w:rPr>
          <w:bdr w:val="none" w:sz="0" w:space="0" w:color="auto" w:frame="1"/>
          <w:lang w:val="ru-RU"/>
        </w:rPr>
        <w:tab/>
      </w:r>
      <w:bookmarkStart w:id="4" w:name="_Hlk126060062"/>
      <w:r w:rsidRPr="009A6A9B">
        <w:rPr>
          <w:bdr w:val="none" w:sz="0" w:space="0" w:color="auto" w:frame="1"/>
          <w:lang w:val="ru-RU"/>
        </w:rPr>
        <w:t>разработка инструментов и контрольных списков в целях содействия учету гендерной проблематики в различных областях компетенции для рассмотрения в рамках инициатив и мероприятий в области создания потенциала, в том числе включение учета гендерной проблематик</w:t>
      </w:r>
      <w:r w:rsidR="007E4067">
        <w:rPr>
          <w:bdr w:val="none" w:sz="0" w:space="0" w:color="auto" w:frame="1"/>
          <w:lang w:val="ru-RU"/>
        </w:rPr>
        <w:t xml:space="preserve">и в меры политики и другие меры, направленные на </w:t>
      </w:r>
      <w:r w:rsidRPr="009A6A9B">
        <w:rPr>
          <w:bdr w:val="none" w:sz="0" w:space="0" w:color="auto" w:frame="1"/>
          <w:lang w:val="ru-RU"/>
        </w:rPr>
        <w:t>регулировани</w:t>
      </w:r>
      <w:r w:rsidR="007E4067">
        <w:rPr>
          <w:bdr w:val="none" w:sz="0" w:space="0" w:color="auto" w:frame="1"/>
          <w:lang w:val="ru-RU"/>
        </w:rPr>
        <w:t>е</w:t>
      </w:r>
      <w:r w:rsidRPr="009A6A9B">
        <w:rPr>
          <w:bdr w:val="none" w:sz="0" w:space="0" w:color="auto" w:frame="1"/>
          <w:lang w:val="ru-RU"/>
        </w:rPr>
        <w:t xml:space="preserve"> доступа к генетическим ресурсам и совместного использования выгод</w:t>
      </w:r>
      <w:bookmarkEnd w:id="4"/>
      <w:r w:rsidRPr="009A6A9B">
        <w:rPr>
          <w:bdr w:val="none" w:sz="0" w:space="0" w:color="auto" w:frame="1"/>
          <w:lang w:val="ru-RU"/>
        </w:rPr>
        <w:t>.</w:t>
      </w:r>
    </w:p>
    <w:p w14:paraId="6B2EDFA4" w14:textId="77777777" w:rsidR="00371DDB" w:rsidRPr="009A6A9B" w:rsidRDefault="00371DDB" w:rsidP="00371DDB">
      <w:pPr>
        <w:spacing w:before="120"/>
        <w:jc w:val="center"/>
        <w:rPr>
          <w:lang w:val="ru-RU"/>
        </w:rPr>
      </w:pPr>
      <w:r w:rsidRPr="009A6A9B">
        <w:rPr>
          <w:lang w:val="ru-RU"/>
        </w:rPr>
        <w:t>__________</w:t>
      </w:r>
    </w:p>
    <w:p w14:paraId="0B5F840C" w14:textId="77777777" w:rsidR="00B3369F" w:rsidRPr="009A6A9B" w:rsidRDefault="00B3369F" w:rsidP="00371DDB">
      <w:pPr>
        <w:pStyle w:val="NormalWeb"/>
        <w:jc w:val="center"/>
        <w:rPr>
          <w:snapToGrid w:val="0"/>
          <w:kern w:val="22"/>
          <w:lang w:val="ru-RU"/>
        </w:rPr>
      </w:pPr>
    </w:p>
    <w:sectPr w:rsidR="00B3369F" w:rsidRPr="009A6A9B" w:rsidSect="00497525">
      <w:headerReference w:type="even" r:id="rId15"/>
      <w:headerReference w:type="default" r:id="rId16"/>
      <w:pgSz w:w="12240" w:h="15840"/>
      <w:pgMar w:top="562" w:right="1354" w:bottom="1138" w:left="135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E517" w14:textId="77777777" w:rsidR="004C3EA6" w:rsidRDefault="004C3EA6" w:rsidP="00CF1848">
      <w:r>
        <w:separator/>
      </w:r>
    </w:p>
  </w:endnote>
  <w:endnote w:type="continuationSeparator" w:id="0">
    <w:p w14:paraId="38D329B9" w14:textId="77777777" w:rsidR="004C3EA6" w:rsidRDefault="004C3EA6" w:rsidP="00CF1848">
      <w:r>
        <w:continuationSeparator/>
      </w:r>
    </w:p>
  </w:endnote>
  <w:endnote w:type="continuationNotice" w:id="1">
    <w:p w14:paraId="165850EF" w14:textId="77777777" w:rsidR="004C3EA6" w:rsidRDefault="004C3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B13D" w14:textId="77777777" w:rsidR="004C3EA6" w:rsidRDefault="004C3EA6" w:rsidP="00CF1848">
      <w:r>
        <w:separator/>
      </w:r>
    </w:p>
  </w:footnote>
  <w:footnote w:type="continuationSeparator" w:id="0">
    <w:p w14:paraId="36EE921D" w14:textId="77777777" w:rsidR="004C3EA6" w:rsidRDefault="004C3EA6" w:rsidP="00CF1848">
      <w:r>
        <w:continuationSeparator/>
      </w:r>
    </w:p>
  </w:footnote>
  <w:footnote w:type="continuationNotice" w:id="1">
    <w:p w14:paraId="2B1B2C00" w14:textId="77777777" w:rsidR="004C3EA6" w:rsidRDefault="004C3EA6"/>
  </w:footnote>
  <w:footnote w:id="2">
    <w:p w14:paraId="00467810" w14:textId="77777777" w:rsidR="00371DDB" w:rsidRPr="00371DDB" w:rsidRDefault="00371DDB" w:rsidP="00371DDB">
      <w:pPr>
        <w:pStyle w:val="FootnoteText"/>
        <w:ind w:firstLine="0"/>
        <w:rPr>
          <w:lang w:val="ru-RU"/>
        </w:rPr>
      </w:pPr>
      <w:r>
        <w:rPr>
          <w:rStyle w:val="FootnoteReference"/>
        </w:rPr>
        <w:footnoteRef/>
      </w:r>
      <w:r w:rsidRPr="00371DDB">
        <w:rPr>
          <w:lang w:val="ru-RU"/>
        </w:rPr>
        <w:t xml:space="preserve"> Стратегическая структура для создания и развития потенциала в поддержку эффективного осуществления Нагойского протокола была утверждена решением </w:t>
      </w:r>
      <w:r>
        <w:t>NP</w:t>
      </w:r>
      <w:r w:rsidRPr="00371DDB">
        <w:rPr>
          <w:lang w:val="ru-RU"/>
        </w:rPr>
        <w:t xml:space="preserve">-1/8. Оценка стратегической структуры приводится в документе </w:t>
      </w:r>
      <w:r>
        <w:t>CBD</w:t>
      </w:r>
      <w:r w:rsidRPr="00371DDB">
        <w:rPr>
          <w:lang w:val="ru-RU"/>
        </w:rPr>
        <w:t>/</w:t>
      </w:r>
      <w:r>
        <w:t>SBI</w:t>
      </w:r>
      <w:r w:rsidRPr="00371DDB">
        <w:rPr>
          <w:lang w:val="ru-RU"/>
        </w:rPr>
        <w:t>/3/</w:t>
      </w:r>
      <w:r>
        <w:t>INF</w:t>
      </w:r>
      <w:r w:rsidRPr="00371DDB">
        <w:rPr>
          <w:lang w:val="ru-RU"/>
        </w:rPr>
        <w:t>/1.</w:t>
      </w:r>
    </w:p>
  </w:footnote>
  <w:footnote w:id="3">
    <w:p w14:paraId="2A78BD6E" w14:textId="77777777" w:rsidR="00371DDB" w:rsidRPr="00371DDB" w:rsidRDefault="00371DDB" w:rsidP="00371DDB">
      <w:pPr>
        <w:pStyle w:val="FootnoteText"/>
        <w:ind w:firstLine="0"/>
        <w:rPr>
          <w:lang w:val="ru-RU"/>
        </w:rPr>
      </w:pPr>
      <w:r>
        <w:rPr>
          <w:rStyle w:val="FootnoteReference"/>
        </w:rPr>
        <w:footnoteRef/>
      </w:r>
      <w:r w:rsidRPr="00371DDB">
        <w:rPr>
          <w:lang w:val="ru-RU"/>
        </w:rPr>
        <w:t xml:space="preserve"> Приложение </w:t>
      </w:r>
      <w:r>
        <w:t>I</w:t>
      </w:r>
      <w:r w:rsidRPr="00371DDB">
        <w:rPr>
          <w:lang w:val="ru-RU"/>
        </w:rPr>
        <w:t xml:space="preserve"> к решению</w:t>
      </w:r>
      <w:r>
        <w:t> </w:t>
      </w:r>
      <w:r w:rsidRPr="00371DDB">
        <w:rPr>
          <w:lang w:val="ru-RU"/>
        </w:rPr>
        <w:t>15/8.</w:t>
      </w:r>
    </w:p>
  </w:footnote>
  <w:footnote w:id="4">
    <w:p w14:paraId="7507E09A" w14:textId="77777777" w:rsidR="00371DDB" w:rsidRPr="00371DDB" w:rsidRDefault="00371DDB" w:rsidP="00371DDB">
      <w:pPr>
        <w:pStyle w:val="FootnoteText"/>
        <w:ind w:firstLine="0"/>
        <w:rPr>
          <w:szCs w:val="18"/>
          <w:lang w:val="ru-RU"/>
        </w:rPr>
      </w:pPr>
      <w:r>
        <w:rPr>
          <w:rStyle w:val="FootnoteReference"/>
          <w:szCs w:val="18"/>
        </w:rPr>
        <w:footnoteRef/>
      </w:r>
      <w:r w:rsidRPr="00371DDB">
        <w:rPr>
          <w:lang w:val="ru-RU"/>
        </w:rPr>
        <w:t xml:space="preserve"> Приложение к решению 15/4.</w:t>
      </w:r>
    </w:p>
  </w:footnote>
  <w:footnote w:id="5">
    <w:p w14:paraId="4A4072A6" w14:textId="77777777" w:rsidR="00371DDB" w:rsidRPr="00371DDB" w:rsidRDefault="00371DDB" w:rsidP="00371DDB">
      <w:pPr>
        <w:pStyle w:val="FootnoteText"/>
        <w:suppressLineNumbers/>
        <w:suppressAutoHyphens/>
        <w:ind w:firstLine="0"/>
        <w:jc w:val="left"/>
        <w:rPr>
          <w:kern w:val="18"/>
          <w:szCs w:val="18"/>
          <w:lang w:val="ru-RU"/>
        </w:rPr>
      </w:pPr>
      <w:r>
        <w:rPr>
          <w:rStyle w:val="FootnoteReference"/>
          <w:kern w:val="18"/>
          <w:szCs w:val="18"/>
        </w:rPr>
        <w:footnoteRef/>
      </w:r>
      <w:r w:rsidRPr="00371DDB">
        <w:rPr>
          <w:lang w:val="ru-RU"/>
        </w:rPr>
        <w:t xml:space="preserve"> </w:t>
      </w:r>
      <w:r>
        <w:t>CBD</w:t>
      </w:r>
      <w:r w:rsidRPr="00371DDB">
        <w:rPr>
          <w:lang w:val="ru-RU"/>
        </w:rPr>
        <w:t>/</w:t>
      </w:r>
      <w:r>
        <w:t>NP</w:t>
      </w:r>
      <w:r w:rsidRPr="00371DDB">
        <w:rPr>
          <w:lang w:val="ru-RU"/>
        </w:rPr>
        <w:t>/</w:t>
      </w:r>
      <w:r>
        <w:t>CB</w:t>
      </w:r>
      <w:r w:rsidRPr="00371DDB">
        <w:rPr>
          <w:lang w:val="ru-RU"/>
        </w:rPr>
        <w:t>-</w:t>
      </w:r>
      <w:r>
        <w:t>IAC</w:t>
      </w:r>
      <w:r w:rsidRPr="00371DDB">
        <w:rPr>
          <w:lang w:val="ru-RU"/>
        </w:rPr>
        <w:t>/2019/1/4.</w:t>
      </w:r>
    </w:p>
  </w:footnote>
  <w:footnote w:id="6">
    <w:p w14:paraId="257B2A24" w14:textId="77777777" w:rsidR="00371DDB" w:rsidRPr="00371DDB" w:rsidRDefault="00371DDB" w:rsidP="00371DDB">
      <w:pPr>
        <w:pStyle w:val="FootnoteText"/>
        <w:ind w:firstLine="0"/>
        <w:jc w:val="left"/>
        <w:rPr>
          <w:kern w:val="18"/>
          <w:szCs w:val="18"/>
          <w:lang w:val="ru-RU"/>
        </w:rPr>
      </w:pPr>
      <w:r>
        <w:rPr>
          <w:rStyle w:val="FootnoteReference"/>
          <w:kern w:val="18"/>
          <w:szCs w:val="18"/>
        </w:rPr>
        <w:footnoteRef/>
      </w:r>
      <w:r w:rsidRPr="00371DDB">
        <w:rPr>
          <w:lang w:val="ru-RU"/>
        </w:rPr>
        <w:t xml:space="preserve"> Как указано в решении </w:t>
      </w:r>
      <w:r>
        <w:t>NP</w:t>
      </w:r>
      <w:r w:rsidRPr="00371DDB">
        <w:rPr>
          <w:lang w:val="ru-RU"/>
        </w:rPr>
        <w:t>-1/9.</w:t>
      </w:r>
    </w:p>
  </w:footnote>
  <w:footnote w:id="7">
    <w:p w14:paraId="010C66C5" w14:textId="71A850C6" w:rsidR="00371DDB" w:rsidRPr="00371DDB" w:rsidRDefault="00371DDB" w:rsidP="00371DDB">
      <w:pPr>
        <w:pStyle w:val="FootnoteText"/>
        <w:ind w:firstLine="0"/>
        <w:jc w:val="left"/>
        <w:rPr>
          <w:szCs w:val="18"/>
          <w:lang w:val="ru-RU"/>
        </w:rPr>
      </w:pPr>
      <w:r>
        <w:rPr>
          <w:rStyle w:val="FootnoteReference"/>
          <w:szCs w:val="18"/>
        </w:rPr>
        <w:footnoteRef/>
      </w:r>
      <w:r w:rsidRPr="00371DDB">
        <w:rPr>
          <w:lang w:val="ru-RU"/>
        </w:rPr>
        <w:t xml:space="preserve"> </w:t>
      </w:r>
      <w:r w:rsidRPr="007E4067">
        <w:rPr>
          <w:rStyle w:val="Hyperlink"/>
        </w:rPr>
        <w:t>https</w:t>
      </w:r>
      <w:r w:rsidRPr="007E4067">
        <w:rPr>
          <w:rStyle w:val="Hyperlink"/>
          <w:lang w:val="ru-RU"/>
        </w:rPr>
        <w:t>://</w:t>
      </w:r>
      <w:r w:rsidRPr="007E4067">
        <w:rPr>
          <w:rStyle w:val="Hyperlink"/>
        </w:rPr>
        <w:t>www</w:t>
      </w:r>
      <w:r w:rsidRPr="007E4067">
        <w:rPr>
          <w:rStyle w:val="Hyperlink"/>
          <w:lang w:val="ru-RU"/>
        </w:rPr>
        <w:t>.</w:t>
      </w:r>
      <w:proofErr w:type="spellStart"/>
      <w:r w:rsidRPr="007E4067">
        <w:rPr>
          <w:rStyle w:val="Hyperlink"/>
        </w:rPr>
        <w:t>cbd</w:t>
      </w:r>
      <w:proofErr w:type="spellEnd"/>
      <w:r w:rsidRPr="007E4067">
        <w:rPr>
          <w:rStyle w:val="Hyperlink"/>
          <w:lang w:val="ru-RU"/>
        </w:rPr>
        <w:t>.</w:t>
      </w:r>
      <w:r w:rsidRPr="007E4067">
        <w:rPr>
          <w:rStyle w:val="Hyperlink"/>
        </w:rPr>
        <w:t>int</w:t>
      </w:r>
      <w:r w:rsidRPr="007E4067">
        <w:rPr>
          <w:rStyle w:val="Hyperlink"/>
          <w:lang w:val="ru-RU"/>
        </w:rPr>
        <w:t>/</w:t>
      </w:r>
      <w:r w:rsidRPr="007E4067">
        <w:rPr>
          <w:rStyle w:val="Hyperlink"/>
        </w:rPr>
        <w:t>abs</w:t>
      </w:r>
      <w:r w:rsidRPr="007E4067">
        <w:rPr>
          <w:rStyle w:val="Hyperlink"/>
          <w:lang w:val="ru-RU"/>
        </w:rPr>
        <w:t>/</w:t>
      </w:r>
      <w:r w:rsidRPr="007E4067">
        <w:rPr>
          <w:rStyle w:val="Hyperlink"/>
        </w:rPr>
        <w:t>doc</w:t>
      </w:r>
      <w:r w:rsidRPr="007E4067">
        <w:rPr>
          <w:rStyle w:val="Hyperlink"/>
          <w:lang w:val="ru-RU"/>
        </w:rPr>
        <w:t>/</w:t>
      </w:r>
      <w:r w:rsidRPr="007E4067">
        <w:rPr>
          <w:rStyle w:val="Hyperlink"/>
        </w:rPr>
        <w:t>cepa</w:t>
      </w:r>
      <w:r w:rsidRPr="007E4067">
        <w:rPr>
          <w:rStyle w:val="Hyperlink"/>
          <w:lang w:val="ru-RU"/>
        </w:rPr>
        <w:t>-</w:t>
      </w:r>
      <w:r w:rsidRPr="007E4067">
        <w:rPr>
          <w:rStyle w:val="Hyperlink"/>
        </w:rPr>
        <w:t>toolkit</w:t>
      </w:r>
      <w:r w:rsidRPr="007E4067">
        <w:rPr>
          <w:rStyle w:val="Hyperlink"/>
          <w:lang w:val="ru-RU"/>
        </w:rPr>
        <w:t>-</w:t>
      </w:r>
      <w:proofErr w:type="spellStart"/>
      <w:r w:rsidRPr="007E4067">
        <w:rPr>
          <w:rStyle w:val="Hyperlink"/>
        </w:rPr>
        <w:t>en</w:t>
      </w:r>
      <w:proofErr w:type="spellEnd"/>
      <w:r w:rsidRPr="007E4067">
        <w:rPr>
          <w:rStyle w:val="Hyperlink"/>
          <w:lang w:val="ru-RU"/>
        </w:rPr>
        <w:t>.</w:t>
      </w:r>
      <w:r w:rsidRPr="007E4067">
        <w:rPr>
          <w:rStyle w:val="Hyperlink"/>
        </w:rPr>
        <w:t>pdf</w:t>
      </w:r>
      <w:r w:rsidRPr="00371DDB">
        <w:rPr>
          <w:lang w:val="ru-RU"/>
        </w:rPr>
        <w:t>.</w:t>
      </w:r>
    </w:p>
  </w:footnote>
  <w:footnote w:id="8">
    <w:p w14:paraId="53CF562D" w14:textId="77777777" w:rsidR="00371DDB" w:rsidRPr="00371DDB" w:rsidRDefault="00371DDB" w:rsidP="00371DDB">
      <w:pPr>
        <w:pStyle w:val="FootnoteText"/>
        <w:ind w:firstLine="0"/>
        <w:rPr>
          <w:lang w:val="ru-RU"/>
        </w:rPr>
      </w:pPr>
      <w:r>
        <w:rPr>
          <w:rStyle w:val="FootnoteReference"/>
        </w:rPr>
        <w:footnoteRef/>
      </w:r>
      <w:r w:rsidRPr="00371DDB">
        <w:rPr>
          <w:lang w:val="ru-RU"/>
        </w:rPr>
        <w:t xml:space="preserve"> </w:t>
      </w:r>
      <w:r w:rsidRPr="00371DDB">
        <w:rPr>
          <w:snapToGrid w:val="0"/>
          <w:lang w:val="ru-RU"/>
        </w:rPr>
        <w:t>Приложение к решению 15/14.</w:t>
      </w:r>
    </w:p>
  </w:footnote>
  <w:footnote w:id="9">
    <w:p w14:paraId="5429E88B" w14:textId="77777777" w:rsidR="00371DDB" w:rsidRPr="00371DDB" w:rsidRDefault="00371DDB" w:rsidP="00371DDB">
      <w:pPr>
        <w:pStyle w:val="FootnoteText"/>
        <w:ind w:firstLine="0"/>
        <w:jc w:val="left"/>
        <w:rPr>
          <w:lang w:val="ru-RU"/>
        </w:rPr>
      </w:pPr>
      <w:r>
        <w:rPr>
          <w:rStyle w:val="FootnoteReference"/>
          <w:szCs w:val="18"/>
        </w:rPr>
        <w:footnoteRef/>
      </w:r>
      <w:r w:rsidRPr="00371DDB">
        <w:rPr>
          <w:lang w:val="ru-RU"/>
        </w:rPr>
        <w:t xml:space="preserve"> Элемент (</w:t>
      </w:r>
      <w:r>
        <w:t>g</w:t>
      </w:r>
      <w:r w:rsidRPr="00371DDB">
        <w:rPr>
          <w:lang w:val="ru-RU"/>
        </w:rPr>
        <w:t>) был добавлен в процессе принятия настоящего решения и не был выявлен в ходе первой оценки и обзора (</w:t>
      </w:r>
      <w:r>
        <w:t>NP</w:t>
      </w:r>
      <w:r w:rsidRPr="00371DDB">
        <w:rPr>
          <w:lang w:val="ru-RU"/>
        </w:rPr>
        <w:t>-3/1).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rPr>
    </w:sdtEndPr>
    <w:sdtContent>
      <w:p w14:paraId="0B5F8419" w14:textId="375E4B3A" w:rsidR="000172B0" w:rsidRPr="008B4327" w:rsidRDefault="00CE1C39" w:rsidP="00644578">
        <w:pPr>
          <w:pStyle w:val="Header"/>
          <w:tabs>
            <w:tab w:val="clear" w:pos="4320"/>
            <w:tab w:val="clear" w:pos="8640"/>
          </w:tabs>
          <w:kinsoku w:val="0"/>
          <w:overflowPunct w:val="0"/>
          <w:autoSpaceDE w:val="0"/>
          <w:autoSpaceDN w:val="0"/>
          <w:jc w:val="left"/>
          <w:rPr>
            <w:kern w:val="22"/>
            <w:lang w:val="ru-RU"/>
          </w:rPr>
        </w:pPr>
        <w:r>
          <w:rPr>
            <w:kern w:val="22"/>
            <w:lang w:val="ru-RU"/>
          </w:rPr>
          <w:t>CBD/NP/MOP/DEC/4/7</w:t>
        </w:r>
      </w:p>
    </w:sdtContent>
  </w:sdt>
  <w:p w14:paraId="0B5F841A" w14:textId="77777777" w:rsidR="000172B0" w:rsidRPr="008B4327" w:rsidRDefault="000172B0" w:rsidP="00644578">
    <w:pPr>
      <w:pStyle w:val="Header"/>
      <w:tabs>
        <w:tab w:val="clear" w:pos="4320"/>
        <w:tab w:val="clear" w:pos="8640"/>
      </w:tabs>
      <w:kinsoku w:val="0"/>
      <w:overflowPunct w:val="0"/>
      <w:autoSpaceDE w:val="0"/>
      <w:autoSpaceDN w:val="0"/>
      <w:jc w:val="left"/>
      <w:rPr>
        <w:kern w:val="22"/>
        <w:lang w:val="ru-RU"/>
      </w:rPr>
    </w:pPr>
    <w:r>
      <w:rPr>
        <w:kern w:val="22"/>
        <w:lang w:val="ru-RU"/>
      </w:rPr>
      <w:t>Страница</w:t>
    </w:r>
    <w:r w:rsidRPr="008B4327">
      <w:rPr>
        <w:kern w:val="22"/>
        <w:lang w:val="ru-RU"/>
      </w:rPr>
      <w:t xml:space="preserve"> </w:t>
    </w:r>
    <w:r w:rsidR="00EB66BE" w:rsidRPr="00644578">
      <w:rPr>
        <w:kern w:val="22"/>
      </w:rPr>
      <w:fldChar w:fldCharType="begin"/>
    </w:r>
    <w:r w:rsidRPr="008B4327">
      <w:rPr>
        <w:kern w:val="22"/>
        <w:lang w:val="ru-RU"/>
      </w:rPr>
      <w:instrText xml:space="preserve"> </w:instrText>
    </w:r>
    <w:r w:rsidRPr="00644578">
      <w:rPr>
        <w:kern w:val="22"/>
      </w:rPr>
      <w:instrText>PAGE</w:instrText>
    </w:r>
    <w:r w:rsidRPr="008B4327">
      <w:rPr>
        <w:kern w:val="22"/>
        <w:lang w:val="ru-RU"/>
      </w:rPr>
      <w:instrText xml:space="preserve">   \* </w:instrText>
    </w:r>
    <w:r w:rsidRPr="00644578">
      <w:rPr>
        <w:kern w:val="22"/>
      </w:rPr>
      <w:instrText>MERGEFORMAT</w:instrText>
    </w:r>
    <w:r w:rsidRPr="008B4327">
      <w:rPr>
        <w:kern w:val="22"/>
        <w:lang w:val="ru-RU"/>
      </w:rPr>
      <w:instrText xml:space="preserve"> </w:instrText>
    </w:r>
    <w:r w:rsidR="00EB66BE" w:rsidRPr="00644578">
      <w:rPr>
        <w:kern w:val="22"/>
      </w:rPr>
      <w:fldChar w:fldCharType="separate"/>
    </w:r>
    <w:r w:rsidR="007E4067" w:rsidRPr="007E4067">
      <w:rPr>
        <w:noProof/>
        <w:kern w:val="22"/>
        <w:lang w:val="ru-RU"/>
      </w:rPr>
      <w:t>4</w:t>
    </w:r>
    <w:r w:rsidR="00EB66BE" w:rsidRPr="00644578">
      <w:rPr>
        <w:kern w:val="22"/>
      </w:rPr>
      <w:fldChar w:fldCharType="end"/>
    </w:r>
  </w:p>
  <w:p w14:paraId="0B5F841B" w14:textId="77777777" w:rsidR="000172B0" w:rsidRPr="008B4327" w:rsidRDefault="000172B0" w:rsidP="00644578">
    <w:pPr>
      <w:pStyle w:val="Header"/>
      <w:tabs>
        <w:tab w:val="clear" w:pos="4320"/>
        <w:tab w:val="clear" w:pos="8640"/>
      </w:tabs>
      <w:kinsoku w:val="0"/>
      <w:overflowPunct w:val="0"/>
      <w:autoSpaceDE w:val="0"/>
      <w:autoSpaceDN w:val="0"/>
      <w:jc w:val="left"/>
      <w:rPr>
        <w:kern w:val="22"/>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u-RU"/>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B5F841C" w14:textId="2C9F6715" w:rsidR="000172B0" w:rsidRPr="00E5396B" w:rsidRDefault="00CE1C39" w:rsidP="009505C9">
        <w:pPr>
          <w:pStyle w:val="Header"/>
          <w:jc w:val="right"/>
          <w:rPr>
            <w:lang w:val="ru-RU"/>
          </w:rPr>
        </w:pPr>
        <w:r>
          <w:rPr>
            <w:lang w:val="ru-RU"/>
          </w:rPr>
          <w:t>CBD/NP/MOP/DEC/4/7</w:t>
        </w:r>
      </w:p>
    </w:sdtContent>
  </w:sdt>
  <w:p w14:paraId="0B5F841D" w14:textId="77777777" w:rsidR="000172B0" w:rsidRPr="00E5396B" w:rsidRDefault="000172B0" w:rsidP="009505C9">
    <w:pPr>
      <w:pStyle w:val="Header"/>
      <w:jc w:val="right"/>
      <w:rPr>
        <w:lang w:val="ru-RU"/>
      </w:rPr>
    </w:pPr>
    <w:r>
      <w:rPr>
        <w:lang w:val="ru-RU"/>
      </w:rPr>
      <w:t>Страница</w:t>
    </w:r>
    <w:r w:rsidRPr="00E5396B">
      <w:rPr>
        <w:lang w:val="ru-RU"/>
      </w:rPr>
      <w:t xml:space="preserve"> </w:t>
    </w:r>
    <w:r w:rsidR="00EB66BE">
      <w:fldChar w:fldCharType="begin"/>
    </w:r>
    <w:r w:rsidRPr="00E5396B">
      <w:rPr>
        <w:lang w:val="ru-RU"/>
      </w:rPr>
      <w:instrText xml:space="preserve"> </w:instrText>
    </w:r>
    <w:r w:rsidRPr="00000614">
      <w:rPr>
        <w:lang w:val="fr-FR"/>
      </w:rPr>
      <w:instrText>PAGE</w:instrText>
    </w:r>
    <w:r w:rsidRPr="00E5396B">
      <w:rPr>
        <w:lang w:val="ru-RU"/>
      </w:rPr>
      <w:instrText xml:space="preserve">   \* </w:instrText>
    </w:r>
    <w:r w:rsidRPr="00000614">
      <w:rPr>
        <w:lang w:val="fr-FR"/>
      </w:rPr>
      <w:instrText>MERGEFORMAT</w:instrText>
    </w:r>
    <w:r w:rsidRPr="00E5396B">
      <w:rPr>
        <w:lang w:val="ru-RU"/>
      </w:rPr>
      <w:instrText xml:space="preserve"> </w:instrText>
    </w:r>
    <w:r w:rsidR="00EB66BE">
      <w:fldChar w:fldCharType="separate"/>
    </w:r>
    <w:r w:rsidR="007E4067" w:rsidRPr="007E4067">
      <w:rPr>
        <w:noProof/>
        <w:lang w:val="ru-RU"/>
      </w:rPr>
      <w:t>3</w:t>
    </w:r>
    <w:r w:rsidR="00EB66BE">
      <w:rPr>
        <w:noProof/>
      </w:rPr>
      <w:fldChar w:fldCharType="end"/>
    </w:r>
  </w:p>
  <w:p w14:paraId="0B5F841E" w14:textId="77777777" w:rsidR="000172B0" w:rsidRPr="00E5396B" w:rsidRDefault="000172B0">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8B06D20"/>
    <w:multiLevelType w:val="hybridMultilevel"/>
    <w:tmpl w:val="640C82C2"/>
    <w:lvl w:ilvl="0" w:tplc="FE6AF556">
      <w:start w:val="1"/>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0B5E53F6"/>
    <w:multiLevelType w:val="hybridMultilevel"/>
    <w:tmpl w:val="751E84FC"/>
    <w:lvl w:ilvl="0" w:tplc="2E5E1438">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11DF2"/>
    <w:multiLevelType w:val="hybridMultilevel"/>
    <w:tmpl w:val="56F69E30"/>
    <w:lvl w:ilvl="0" w:tplc="1009000F">
      <w:start w:val="1"/>
      <w:numFmt w:val="decimal"/>
      <w:lvlText w:val="%1."/>
      <w:lvlJc w:val="left"/>
      <w:pPr>
        <w:ind w:left="720" w:hanging="360"/>
      </w:pPr>
      <w:rPr>
        <w:rFonts w:hint="default"/>
      </w:rPr>
    </w:lvl>
    <w:lvl w:ilvl="1" w:tplc="B2DA00FA">
      <w:start w:val="1"/>
      <w:numFmt w:val="lowerLetter"/>
      <w:lvlText w:val="%2)"/>
      <w:lvlJc w:val="left"/>
      <w:pPr>
        <w:ind w:left="1440" w:hanging="360"/>
      </w:pPr>
      <w:rPr>
        <w:rFonts w:hint="default"/>
        <w:lang w:val="ru-RU"/>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F3758B"/>
    <w:multiLevelType w:val="hybridMultilevel"/>
    <w:tmpl w:val="DA64E950"/>
    <w:lvl w:ilvl="0" w:tplc="1B9214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3C5A93"/>
    <w:multiLevelType w:val="hybridMultilevel"/>
    <w:tmpl w:val="0BA05A1A"/>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41E24F32"/>
    <w:multiLevelType w:val="multilevel"/>
    <w:tmpl w:val="041E542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ru-RU"/>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946BEB"/>
    <w:multiLevelType w:val="hybridMultilevel"/>
    <w:tmpl w:val="B15CC356"/>
    <w:lvl w:ilvl="0" w:tplc="43D22AC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413873F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E5685B"/>
    <w:multiLevelType w:val="multilevel"/>
    <w:tmpl w:val="2EA267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56A90"/>
    <w:multiLevelType w:val="hybridMultilevel"/>
    <w:tmpl w:val="F19A30EA"/>
    <w:lvl w:ilvl="0" w:tplc="FB4665E4">
      <w:start w:val="1"/>
      <w:numFmt w:val="decimal"/>
      <w:lvlText w:val="%1."/>
      <w:lvlJc w:val="left"/>
      <w:pPr>
        <w:ind w:left="720" w:hanging="360"/>
      </w:pPr>
      <w:rPr>
        <w:i w:val="0"/>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DB194E"/>
    <w:multiLevelType w:val="multilevel"/>
    <w:tmpl w:val="4CC44C0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375434">
    <w:abstractNumId w:val="10"/>
  </w:num>
  <w:num w:numId="2" w16cid:durableId="51396371">
    <w:abstractNumId w:val="18"/>
  </w:num>
  <w:num w:numId="3" w16cid:durableId="1096445167">
    <w:abstractNumId w:val="14"/>
  </w:num>
  <w:num w:numId="4" w16cid:durableId="50352200">
    <w:abstractNumId w:val="18"/>
  </w:num>
  <w:num w:numId="5" w16cid:durableId="139081884">
    <w:abstractNumId w:val="15"/>
  </w:num>
  <w:num w:numId="6" w16cid:durableId="252593495">
    <w:abstractNumId w:val="3"/>
  </w:num>
  <w:num w:numId="7" w16cid:durableId="1278685238">
    <w:abstractNumId w:val="6"/>
  </w:num>
  <w:num w:numId="8" w16cid:durableId="1505897690">
    <w:abstractNumId w:val="14"/>
    <w:lvlOverride w:ilvl="0">
      <w:startOverride w:val="1"/>
    </w:lvlOverride>
  </w:num>
  <w:num w:numId="9" w16cid:durableId="874124939">
    <w:abstractNumId w:val="26"/>
  </w:num>
  <w:num w:numId="10" w16cid:durableId="1382367042">
    <w:abstractNumId w:val="14"/>
    <w:lvlOverride w:ilvl="0">
      <w:startOverride w:val="1"/>
    </w:lvlOverride>
  </w:num>
  <w:num w:numId="11" w16cid:durableId="51463629">
    <w:abstractNumId w:val="14"/>
    <w:lvlOverride w:ilvl="0">
      <w:startOverride w:val="1"/>
    </w:lvlOverride>
  </w:num>
  <w:num w:numId="12" w16cid:durableId="1709258120">
    <w:abstractNumId w:val="14"/>
    <w:lvlOverride w:ilvl="0">
      <w:startOverride w:val="1"/>
    </w:lvlOverride>
  </w:num>
  <w:num w:numId="13" w16cid:durableId="996419632">
    <w:abstractNumId w:val="14"/>
    <w:lvlOverride w:ilvl="0">
      <w:startOverride w:val="1"/>
    </w:lvlOverride>
  </w:num>
  <w:num w:numId="14" w16cid:durableId="576205446">
    <w:abstractNumId w:val="22"/>
  </w:num>
  <w:num w:numId="15" w16cid:durableId="1492796331">
    <w:abstractNumId w:val="19"/>
  </w:num>
  <w:num w:numId="16" w16cid:durableId="959148286">
    <w:abstractNumId w:val="4"/>
  </w:num>
  <w:num w:numId="17" w16cid:durableId="1650556124">
    <w:abstractNumId w:val="27"/>
  </w:num>
  <w:num w:numId="18" w16cid:durableId="2136096422">
    <w:abstractNumId w:val="30"/>
  </w:num>
  <w:num w:numId="19" w16cid:durableId="952248633">
    <w:abstractNumId w:val="7"/>
  </w:num>
  <w:num w:numId="20" w16cid:durableId="1887450631">
    <w:abstractNumId w:val="26"/>
  </w:num>
  <w:num w:numId="21" w16cid:durableId="10765969">
    <w:abstractNumId w:val="10"/>
  </w:num>
  <w:num w:numId="22" w16cid:durableId="979069465">
    <w:abstractNumId w:val="18"/>
  </w:num>
  <w:num w:numId="23" w16cid:durableId="740981756">
    <w:abstractNumId w:val="15"/>
  </w:num>
  <w:num w:numId="24" w16cid:durableId="13751530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8155972">
    <w:abstractNumId w:val="17"/>
  </w:num>
  <w:num w:numId="26" w16cid:durableId="844393202">
    <w:abstractNumId w:val="24"/>
  </w:num>
  <w:num w:numId="27" w16cid:durableId="1746798392">
    <w:abstractNumId w:val="16"/>
  </w:num>
  <w:num w:numId="28" w16cid:durableId="102310656">
    <w:abstractNumId w:val="21"/>
  </w:num>
  <w:num w:numId="29" w16cid:durableId="462045597">
    <w:abstractNumId w:val="0"/>
  </w:num>
  <w:num w:numId="30" w16cid:durableId="241065602">
    <w:abstractNumId w:val="23"/>
  </w:num>
  <w:num w:numId="31" w16cid:durableId="2112239890">
    <w:abstractNumId w:val="11"/>
  </w:num>
  <w:num w:numId="32" w16cid:durableId="791676340">
    <w:abstractNumId w:val="9"/>
  </w:num>
  <w:num w:numId="33" w16cid:durableId="13551094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7772650">
    <w:abstractNumId w:val="20"/>
  </w:num>
  <w:num w:numId="35" w16cid:durableId="1648321308">
    <w:abstractNumId w:val="12"/>
  </w:num>
  <w:num w:numId="36" w16cid:durableId="1971013856">
    <w:abstractNumId w:val="5"/>
  </w:num>
  <w:num w:numId="37" w16cid:durableId="62988282">
    <w:abstractNumId w:val="25"/>
  </w:num>
  <w:num w:numId="38" w16cid:durableId="249630612">
    <w:abstractNumId w:val="18"/>
  </w:num>
  <w:num w:numId="39" w16cid:durableId="972246904">
    <w:abstractNumId w:val="8"/>
  </w:num>
  <w:num w:numId="40" w16cid:durableId="58675359">
    <w:abstractNumId w:val="2"/>
  </w:num>
  <w:num w:numId="41" w16cid:durableId="6142183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3710313">
    <w:abstractNumId w:val="29"/>
  </w:num>
  <w:num w:numId="43" w16cid:durableId="2093773169">
    <w:abstractNumId w:val="13"/>
  </w:num>
  <w:num w:numId="44" w16cid:durableId="745885975">
    <w:abstractNumId w:val="1"/>
  </w:num>
  <w:num w:numId="45" w16cid:durableId="61128246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C65"/>
    <w:rsid w:val="00007A01"/>
    <w:rsid w:val="00010AE9"/>
    <w:rsid w:val="000172B0"/>
    <w:rsid w:val="0002415C"/>
    <w:rsid w:val="00032765"/>
    <w:rsid w:val="00033935"/>
    <w:rsid w:val="00041952"/>
    <w:rsid w:val="0004700A"/>
    <w:rsid w:val="00052511"/>
    <w:rsid w:val="00065469"/>
    <w:rsid w:val="00066016"/>
    <w:rsid w:val="00082D4D"/>
    <w:rsid w:val="00083F40"/>
    <w:rsid w:val="000A0B3D"/>
    <w:rsid w:val="000A32A1"/>
    <w:rsid w:val="000A63B7"/>
    <w:rsid w:val="000C6C7D"/>
    <w:rsid w:val="000D06D6"/>
    <w:rsid w:val="000E38B0"/>
    <w:rsid w:val="000E4049"/>
    <w:rsid w:val="000E673A"/>
    <w:rsid w:val="000F321C"/>
    <w:rsid w:val="000F74F5"/>
    <w:rsid w:val="00105372"/>
    <w:rsid w:val="00113688"/>
    <w:rsid w:val="00131E7A"/>
    <w:rsid w:val="00143775"/>
    <w:rsid w:val="00143A81"/>
    <w:rsid w:val="001511C4"/>
    <w:rsid w:val="00167E64"/>
    <w:rsid w:val="00172AF6"/>
    <w:rsid w:val="00176CEE"/>
    <w:rsid w:val="001974AD"/>
    <w:rsid w:val="001A1A6C"/>
    <w:rsid w:val="001A24A4"/>
    <w:rsid w:val="001A40A9"/>
    <w:rsid w:val="001A40BF"/>
    <w:rsid w:val="001B0C5E"/>
    <w:rsid w:val="001B181B"/>
    <w:rsid w:val="001B34F6"/>
    <w:rsid w:val="001B66DA"/>
    <w:rsid w:val="001D5483"/>
    <w:rsid w:val="001D60BD"/>
    <w:rsid w:val="001D7252"/>
    <w:rsid w:val="001E242B"/>
    <w:rsid w:val="001E57FD"/>
    <w:rsid w:val="001F0C94"/>
    <w:rsid w:val="001F63C9"/>
    <w:rsid w:val="001F7DFD"/>
    <w:rsid w:val="00202F46"/>
    <w:rsid w:val="00212837"/>
    <w:rsid w:val="00213509"/>
    <w:rsid w:val="0022079F"/>
    <w:rsid w:val="00224900"/>
    <w:rsid w:val="00232DBA"/>
    <w:rsid w:val="002455FB"/>
    <w:rsid w:val="002525FC"/>
    <w:rsid w:val="0028138F"/>
    <w:rsid w:val="00282E68"/>
    <w:rsid w:val="00285CCE"/>
    <w:rsid w:val="002878CA"/>
    <w:rsid w:val="002A5E89"/>
    <w:rsid w:val="002B2837"/>
    <w:rsid w:val="002C2813"/>
    <w:rsid w:val="002C470F"/>
    <w:rsid w:val="002C7830"/>
    <w:rsid w:val="002D68B5"/>
    <w:rsid w:val="003106DE"/>
    <w:rsid w:val="00320155"/>
    <w:rsid w:val="00330B88"/>
    <w:rsid w:val="00336AA9"/>
    <w:rsid w:val="00341C0F"/>
    <w:rsid w:val="00343311"/>
    <w:rsid w:val="00346DE3"/>
    <w:rsid w:val="00356A97"/>
    <w:rsid w:val="00356ECA"/>
    <w:rsid w:val="003602CB"/>
    <w:rsid w:val="00371DDB"/>
    <w:rsid w:val="003720A5"/>
    <w:rsid w:val="00372F74"/>
    <w:rsid w:val="00373B25"/>
    <w:rsid w:val="0037785A"/>
    <w:rsid w:val="0039050D"/>
    <w:rsid w:val="00393F91"/>
    <w:rsid w:val="003B695F"/>
    <w:rsid w:val="003C5220"/>
    <w:rsid w:val="003D06F1"/>
    <w:rsid w:val="003D1264"/>
    <w:rsid w:val="003E2329"/>
    <w:rsid w:val="003E7934"/>
    <w:rsid w:val="003F7224"/>
    <w:rsid w:val="003F7496"/>
    <w:rsid w:val="00401A64"/>
    <w:rsid w:val="00405146"/>
    <w:rsid w:val="004125E5"/>
    <w:rsid w:val="00417B1D"/>
    <w:rsid w:val="00421D17"/>
    <w:rsid w:val="0042412C"/>
    <w:rsid w:val="00427D21"/>
    <w:rsid w:val="004464ED"/>
    <w:rsid w:val="004518C7"/>
    <w:rsid w:val="0045238C"/>
    <w:rsid w:val="00463A7F"/>
    <w:rsid w:val="004644C2"/>
    <w:rsid w:val="00467F70"/>
    <w:rsid w:val="00467F9C"/>
    <w:rsid w:val="00484C6A"/>
    <w:rsid w:val="00487D0B"/>
    <w:rsid w:val="004911E8"/>
    <w:rsid w:val="004933F6"/>
    <w:rsid w:val="00497525"/>
    <w:rsid w:val="004A139A"/>
    <w:rsid w:val="004C3EA6"/>
    <w:rsid w:val="004F3B61"/>
    <w:rsid w:val="00503889"/>
    <w:rsid w:val="00510E76"/>
    <w:rsid w:val="005159CE"/>
    <w:rsid w:val="00516909"/>
    <w:rsid w:val="00522946"/>
    <w:rsid w:val="00523196"/>
    <w:rsid w:val="00525BC2"/>
    <w:rsid w:val="005343DA"/>
    <w:rsid w:val="00534681"/>
    <w:rsid w:val="005408C9"/>
    <w:rsid w:val="00543F3B"/>
    <w:rsid w:val="00565B33"/>
    <w:rsid w:val="0057041A"/>
    <w:rsid w:val="0057209B"/>
    <w:rsid w:val="00574731"/>
    <w:rsid w:val="00583D5A"/>
    <w:rsid w:val="00587820"/>
    <w:rsid w:val="005C08AF"/>
    <w:rsid w:val="005D2052"/>
    <w:rsid w:val="005D6028"/>
    <w:rsid w:val="005F3016"/>
    <w:rsid w:val="006122BA"/>
    <w:rsid w:val="006164E9"/>
    <w:rsid w:val="0062330B"/>
    <w:rsid w:val="006248BA"/>
    <w:rsid w:val="0063201B"/>
    <w:rsid w:val="00644578"/>
    <w:rsid w:val="00644CDC"/>
    <w:rsid w:val="00645107"/>
    <w:rsid w:val="0064516D"/>
    <w:rsid w:val="00645C4B"/>
    <w:rsid w:val="0065579E"/>
    <w:rsid w:val="00657098"/>
    <w:rsid w:val="006612EF"/>
    <w:rsid w:val="0066287A"/>
    <w:rsid w:val="0066357D"/>
    <w:rsid w:val="00682618"/>
    <w:rsid w:val="006A4585"/>
    <w:rsid w:val="006B2290"/>
    <w:rsid w:val="006B293F"/>
    <w:rsid w:val="006C1218"/>
    <w:rsid w:val="006C29D9"/>
    <w:rsid w:val="006C4AF8"/>
    <w:rsid w:val="006C5040"/>
    <w:rsid w:val="006C51ED"/>
    <w:rsid w:val="006C54AD"/>
    <w:rsid w:val="006D13ED"/>
    <w:rsid w:val="006E55C4"/>
    <w:rsid w:val="006E67D7"/>
    <w:rsid w:val="00706079"/>
    <w:rsid w:val="00717D88"/>
    <w:rsid w:val="00722A7B"/>
    <w:rsid w:val="00731367"/>
    <w:rsid w:val="00746993"/>
    <w:rsid w:val="00756FCE"/>
    <w:rsid w:val="00773039"/>
    <w:rsid w:val="00780867"/>
    <w:rsid w:val="00785FD5"/>
    <w:rsid w:val="007918CC"/>
    <w:rsid w:val="00791ACA"/>
    <w:rsid w:val="007942D3"/>
    <w:rsid w:val="007A42B4"/>
    <w:rsid w:val="007B4773"/>
    <w:rsid w:val="007B6C09"/>
    <w:rsid w:val="007C3F96"/>
    <w:rsid w:val="007C7351"/>
    <w:rsid w:val="007D224C"/>
    <w:rsid w:val="007D36E7"/>
    <w:rsid w:val="007E09DA"/>
    <w:rsid w:val="007E12C3"/>
    <w:rsid w:val="007E4067"/>
    <w:rsid w:val="007E4416"/>
    <w:rsid w:val="007E5C9A"/>
    <w:rsid w:val="007F38EC"/>
    <w:rsid w:val="007F3E9B"/>
    <w:rsid w:val="00803433"/>
    <w:rsid w:val="008178B6"/>
    <w:rsid w:val="0082003F"/>
    <w:rsid w:val="00832BEA"/>
    <w:rsid w:val="00852F25"/>
    <w:rsid w:val="00863B0B"/>
    <w:rsid w:val="00865B74"/>
    <w:rsid w:val="008673A6"/>
    <w:rsid w:val="00882107"/>
    <w:rsid w:val="008861FC"/>
    <w:rsid w:val="00886448"/>
    <w:rsid w:val="00887C59"/>
    <w:rsid w:val="008901B3"/>
    <w:rsid w:val="008A1655"/>
    <w:rsid w:val="008A2472"/>
    <w:rsid w:val="008B0078"/>
    <w:rsid w:val="008B4327"/>
    <w:rsid w:val="008B5C24"/>
    <w:rsid w:val="008C5AAB"/>
    <w:rsid w:val="008D2022"/>
    <w:rsid w:val="008D6959"/>
    <w:rsid w:val="008F14AA"/>
    <w:rsid w:val="008F1F4C"/>
    <w:rsid w:val="009005FD"/>
    <w:rsid w:val="00914688"/>
    <w:rsid w:val="0092687E"/>
    <w:rsid w:val="00926D16"/>
    <w:rsid w:val="00930BA1"/>
    <w:rsid w:val="0093169E"/>
    <w:rsid w:val="009375DA"/>
    <w:rsid w:val="00942CDF"/>
    <w:rsid w:val="009505C9"/>
    <w:rsid w:val="009538A9"/>
    <w:rsid w:val="00953E7D"/>
    <w:rsid w:val="00971D2F"/>
    <w:rsid w:val="00972EF0"/>
    <w:rsid w:val="0097362A"/>
    <w:rsid w:val="00975220"/>
    <w:rsid w:val="0098146B"/>
    <w:rsid w:val="0098319E"/>
    <w:rsid w:val="00991BD9"/>
    <w:rsid w:val="009A6A9B"/>
    <w:rsid w:val="009C200D"/>
    <w:rsid w:val="009C2673"/>
    <w:rsid w:val="009C7B27"/>
    <w:rsid w:val="009D70CD"/>
    <w:rsid w:val="009F1C1F"/>
    <w:rsid w:val="009F1CAC"/>
    <w:rsid w:val="009F53DA"/>
    <w:rsid w:val="00A00770"/>
    <w:rsid w:val="00A15DB2"/>
    <w:rsid w:val="00A17DE6"/>
    <w:rsid w:val="00A21074"/>
    <w:rsid w:val="00A333F6"/>
    <w:rsid w:val="00A3495D"/>
    <w:rsid w:val="00A36B25"/>
    <w:rsid w:val="00A50530"/>
    <w:rsid w:val="00A570E7"/>
    <w:rsid w:val="00A6053B"/>
    <w:rsid w:val="00A62BC2"/>
    <w:rsid w:val="00A67C54"/>
    <w:rsid w:val="00A702A0"/>
    <w:rsid w:val="00A77E50"/>
    <w:rsid w:val="00A96C24"/>
    <w:rsid w:val="00AA7C79"/>
    <w:rsid w:val="00AD39AA"/>
    <w:rsid w:val="00AD46C5"/>
    <w:rsid w:val="00AD5E8B"/>
    <w:rsid w:val="00AE2FDF"/>
    <w:rsid w:val="00AE3230"/>
    <w:rsid w:val="00AF032D"/>
    <w:rsid w:val="00B0000F"/>
    <w:rsid w:val="00B04F65"/>
    <w:rsid w:val="00B06CA9"/>
    <w:rsid w:val="00B121FB"/>
    <w:rsid w:val="00B25C52"/>
    <w:rsid w:val="00B3369F"/>
    <w:rsid w:val="00B50354"/>
    <w:rsid w:val="00B53A98"/>
    <w:rsid w:val="00B635A1"/>
    <w:rsid w:val="00B731DC"/>
    <w:rsid w:val="00B932C4"/>
    <w:rsid w:val="00B95E4A"/>
    <w:rsid w:val="00BA17CC"/>
    <w:rsid w:val="00BA773F"/>
    <w:rsid w:val="00BB057C"/>
    <w:rsid w:val="00BC487E"/>
    <w:rsid w:val="00BC66EA"/>
    <w:rsid w:val="00BD7D5A"/>
    <w:rsid w:val="00BE5400"/>
    <w:rsid w:val="00BF581D"/>
    <w:rsid w:val="00BF735B"/>
    <w:rsid w:val="00BF7B89"/>
    <w:rsid w:val="00C01D5A"/>
    <w:rsid w:val="00C0707F"/>
    <w:rsid w:val="00C07861"/>
    <w:rsid w:val="00C07936"/>
    <w:rsid w:val="00C10992"/>
    <w:rsid w:val="00C16D83"/>
    <w:rsid w:val="00C20258"/>
    <w:rsid w:val="00C26487"/>
    <w:rsid w:val="00C30691"/>
    <w:rsid w:val="00C36CEC"/>
    <w:rsid w:val="00C42431"/>
    <w:rsid w:val="00C44251"/>
    <w:rsid w:val="00C459A6"/>
    <w:rsid w:val="00C46D52"/>
    <w:rsid w:val="00C55BD9"/>
    <w:rsid w:val="00C64921"/>
    <w:rsid w:val="00C66FEE"/>
    <w:rsid w:val="00C9161D"/>
    <w:rsid w:val="00CA67B2"/>
    <w:rsid w:val="00CA7913"/>
    <w:rsid w:val="00CC1EE0"/>
    <w:rsid w:val="00CC65E3"/>
    <w:rsid w:val="00CD0D0E"/>
    <w:rsid w:val="00CD4CA3"/>
    <w:rsid w:val="00CE1C39"/>
    <w:rsid w:val="00CF1848"/>
    <w:rsid w:val="00CF24BF"/>
    <w:rsid w:val="00CF60D4"/>
    <w:rsid w:val="00D02DFE"/>
    <w:rsid w:val="00D03791"/>
    <w:rsid w:val="00D04A14"/>
    <w:rsid w:val="00D12044"/>
    <w:rsid w:val="00D13E3D"/>
    <w:rsid w:val="00D524C0"/>
    <w:rsid w:val="00D5556F"/>
    <w:rsid w:val="00D56C7F"/>
    <w:rsid w:val="00D662E2"/>
    <w:rsid w:val="00D70014"/>
    <w:rsid w:val="00D731B3"/>
    <w:rsid w:val="00D76A18"/>
    <w:rsid w:val="00D84A81"/>
    <w:rsid w:val="00D8611A"/>
    <w:rsid w:val="00DB404B"/>
    <w:rsid w:val="00DC33FC"/>
    <w:rsid w:val="00DD118C"/>
    <w:rsid w:val="00DD5585"/>
    <w:rsid w:val="00DD58E7"/>
    <w:rsid w:val="00DD6CFB"/>
    <w:rsid w:val="00DE2426"/>
    <w:rsid w:val="00DE3541"/>
    <w:rsid w:val="00DF27A5"/>
    <w:rsid w:val="00DF7544"/>
    <w:rsid w:val="00E00E82"/>
    <w:rsid w:val="00E24FCB"/>
    <w:rsid w:val="00E322FA"/>
    <w:rsid w:val="00E32B5C"/>
    <w:rsid w:val="00E40240"/>
    <w:rsid w:val="00E45BB2"/>
    <w:rsid w:val="00E47389"/>
    <w:rsid w:val="00E51DAF"/>
    <w:rsid w:val="00E53402"/>
    <w:rsid w:val="00E5396B"/>
    <w:rsid w:val="00E644FF"/>
    <w:rsid w:val="00E66235"/>
    <w:rsid w:val="00E81659"/>
    <w:rsid w:val="00E83C24"/>
    <w:rsid w:val="00E9318D"/>
    <w:rsid w:val="00E940B3"/>
    <w:rsid w:val="00E97FEF"/>
    <w:rsid w:val="00EA7361"/>
    <w:rsid w:val="00EB1985"/>
    <w:rsid w:val="00EB5BEF"/>
    <w:rsid w:val="00EB66BE"/>
    <w:rsid w:val="00EC4B7C"/>
    <w:rsid w:val="00ED71E5"/>
    <w:rsid w:val="00ED7EFF"/>
    <w:rsid w:val="00EE1DD0"/>
    <w:rsid w:val="00EE3985"/>
    <w:rsid w:val="00EE7D1A"/>
    <w:rsid w:val="00EF0B6C"/>
    <w:rsid w:val="00EF1279"/>
    <w:rsid w:val="00EF3FE6"/>
    <w:rsid w:val="00F205AE"/>
    <w:rsid w:val="00F2296E"/>
    <w:rsid w:val="00F514D8"/>
    <w:rsid w:val="00F566EE"/>
    <w:rsid w:val="00F56FBB"/>
    <w:rsid w:val="00F61AF4"/>
    <w:rsid w:val="00F71F62"/>
    <w:rsid w:val="00F7646E"/>
    <w:rsid w:val="00F91E2D"/>
    <w:rsid w:val="00F94774"/>
    <w:rsid w:val="00FA6455"/>
    <w:rsid w:val="00FA65CE"/>
    <w:rsid w:val="00FB0350"/>
    <w:rsid w:val="00FB7879"/>
    <w:rsid w:val="00FC0410"/>
    <w:rsid w:val="00FC0B6F"/>
    <w:rsid w:val="00FC53DB"/>
    <w:rsid w:val="00FC789F"/>
    <w:rsid w:val="00FD14F4"/>
    <w:rsid w:val="00FE5AA9"/>
    <w:rsid w:val="00FF6C22"/>
    <w:rsid w:val="00FF6D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5F83D8"/>
  <w15:docId w15:val="{AC51BF43-4FEA-4B04-B075-A883014A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fn3"/>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uiPriority w:val="99"/>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uiPriority w:val="99"/>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Para1Char1">
    <w:name w:val="Para1 Char1"/>
    <w:locked/>
    <w:rsid w:val="00E644FF"/>
    <w:rPr>
      <w:snapToGrid w:val="0"/>
      <w:sz w:val="22"/>
      <w:szCs w:val="18"/>
      <w:lang w:val="en-GB"/>
    </w:rPr>
  </w:style>
  <w:style w:type="paragraph" w:styleId="CommentSubject">
    <w:name w:val="annotation subject"/>
    <w:basedOn w:val="CommentText"/>
    <w:next w:val="CommentText"/>
    <w:link w:val="CommentSubjectChar"/>
    <w:uiPriority w:val="99"/>
    <w:semiHidden/>
    <w:unhideWhenUsed/>
    <w:rsid w:val="00010AE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10AE9"/>
    <w:rPr>
      <w:rFonts w:ascii="Times New Roman" w:eastAsia="Times New Roman" w:hAnsi="Times New Roman" w:cs="Times New Roman"/>
      <w:b/>
      <w:bCs/>
      <w:sz w:val="20"/>
      <w:szCs w:val="20"/>
      <w:lang w:val="en-GB"/>
    </w:rPr>
  </w:style>
  <w:style w:type="character" w:customStyle="1" w:styleId="Mentionnonrsolue1">
    <w:name w:val="Mention non résolue1"/>
    <w:basedOn w:val="DefaultParagraphFont"/>
    <w:uiPriority w:val="99"/>
    <w:semiHidden/>
    <w:unhideWhenUsed/>
    <w:rsid w:val="00010AE9"/>
    <w:rPr>
      <w:color w:val="605E5C"/>
      <w:shd w:val="clear" w:color="auto" w:fill="E1DFDD"/>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113688"/>
    <w:rPr>
      <w:rFonts w:ascii="Times New Roman" w:eastAsia="Times New Roman" w:hAnsi="Times New Roman" w:cs="Times New Roman"/>
      <w:sz w:val="22"/>
      <w:lang w:val="en-GB"/>
    </w:rPr>
  </w:style>
  <w:style w:type="paragraph" w:styleId="NormalWeb">
    <w:name w:val="Normal (Web)"/>
    <w:basedOn w:val="Normal"/>
    <w:uiPriority w:val="99"/>
    <w:unhideWhenUsed/>
    <w:rsid w:val="00CE1C39"/>
    <w:pPr>
      <w:spacing w:before="100" w:beforeAutospacing="1" w:after="100" w:afterAutospacing="1"/>
      <w:jc w:val="left"/>
    </w:pPr>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921">
      <w:bodyDiv w:val="1"/>
      <w:marLeft w:val="0"/>
      <w:marRight w:val="0"/>
      <w:marTop w:val="0"/>
      <w:marBottom w:val="0"/>
      <w:divBdr>
        <w:top w:val="none" w:sz="0" w:space="0" w:color="auto"/>
        <w:left w:val="none" w:sz="0" w:space="0" w:color="auto"/>
        <w:bottom w:val="none" w:sz="0" w:space="0" w:color="auto"/>
        <w:right w:val="none" w:sz="0" w:space="0" w:color="auto"/>
      </w:divBdr>
    </w:div>
    <w:div w:id="232088413">
      <w:bodyDiv w:val="1"/>
      <w:marLeft w:val="0"/>
      <w:marRight w:val="0"/>
      <w:marTop w:val="0"/>
      <w:marBottom w:val="0"/>
      <w:divBdr>
        <w:top w:val="none" w:sz="0" w:space="0" w:color="auto"/>
        <w:left w:val="none" w:sz="0" w:space="0" w:color="auto"/>
        <w:bottom w:val="none" w:sz="0" w:space="0" w:color="auto"/>
        <w:right w:val="none" w:sz="0" w:space="0" w:color="auto"/>
      </w:divBdr>
    </w:div>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31715528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64967303">
      <w:bodyDiv w:val="1"/>
      <w:marLeft w:val="0"/>
      <w:marRight w:val="0"/>
      <w:marTop w:val="0"/>
      <w:marBottom w:val="0"/>
      <w:divBdr>
        <w:top w:val="none" w:sz="0" w:space="0" w:color="auto"/>
        <w:left w:val="none" w:sz="0" w:space="0" w:color="auto"/>
        <w:bottom w:val="none" w:sz="0" w:space="0" w:color="auto"/>
        <w:right w:val="none" w:sz="0" w:space="0" w:color="auto"/>
      </w:divBdr>
    </w:div>
    <w:div w:id="133079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PlaceholderText"/>
            </w:rPr>
            <w:t>[Subject]</w:t>
          </w:r>
        </w:p>
      </w:docPartBody>
    </w:docPart>
    <w:docPart>
      <w:docPartPr>
        <w:name w:val="E097579DA00E4031905F52494B7D59BF"/>
        <w:category>
          <w:name w:val="General"/>
          <w:gallery w:val="placeholder"/>
        </w:category>
        <w:types>
          <w:type w:val="bbPlcHdr"/>
        </w:types>
        <w:behaviors>
          <w:behavior w:val="content"/>
        </w:behaviors>
        <w:guid w:val="{0439AEE0-3D59-4B40-9826-957912E70FDC}"/>
      </w:docPartPr>
      <w:docPartBody>
        <w:p w:rsidR="00E328FC" w:rsidRDefault="005B0452" w:rsidP="005B0452">
          <w:pPr>
            <w:pStyle w:val="E097579DA00E4031905F52494B7D59BF"/>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C44E2"/>
    <w:rsid w:val="000F4726"/>
    <w:rsid w:val="00134344"/>
    <w:rsid w:val="00215D66"/>
    <w:rsid w:val="002671F8"/>
    <w:rsid w:val="00284692"/>
    <w:rsid w:val="00285296"/>
    <w:rsid w:val="002B7438"/>
    <w:rsid w:val="002D16C4"/>
    <w:rsid w:val="003A4EE7"/>
    <w:rsid w:val="003B0BDA"/>
    <w:rsid w:val="00407A9D"/>
    <w:rsid w:val="004105E0"/>
    <w:rsid w:val="00500A2B"/>
    <w:rsid w:val="0058288D"/>
    <w:rsid w:val="005B0452"/>
    <w:rsid w:val="006801B3"/>
    <w:rsid w:val="006858B7"/>
    <w:rsid w:val="006E1608"/>
    <w:rsid w:val="006F3238"/>
    <w:rsid w:val="00720F63"/>
    <w:rsid w:val="007A351B"/>
    <w:rsid w:val="007E0748"/>
    <w:rsid w:val="007F1B76"/>
    <w:rsid w:val="00810A55"/>
    <w:rsid w:val="008C6619"/>
    <w:rsid w:val="008D420E"/>
    <w:rsid w:val="00920984"/>
    <w:rsid w:val="00950815"/>
    <w:rsid w:val="00973ED5"/>
    <w:rsid w:val="0098642F"/>
    <w:rsid w:val="009A0ACF"/>
    <w:rsid w:val="009D622D"/>
    <w:rsid w:val="009F5007"/>
    <w:rsid w:val="009F71F5"/>
    <w:rsid w:val="00A15FC1"/>
    <w:rsid w:val="00A60ADB"/>
    <w:rsid w:val="00A90884"/>
    <w:rsid w:val="00AE7ADC"/>
    <w:rsid w:val="00B104DE"/>
    <w:rsid w:val="00B65597"/>
    <w:rsid w:val="00C61D62"/>
    <w:rsid w:val="00C82269"/>
    <w:rsid w:val="00CD2C18"/>
    <w:rsid w:val="00CE6602"/>
    <w:rsid w:val="00DB259B"/>
    <w:rsid w:val="00E328FC"/>
    <w:rsid w:val="00F5650A"/>
    <w:rsid w:val="00FF5F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0452"/>
  </w:style>
  <w:style w:type="paragraph" w:customStyle="1" w:styleId="D0F39B3E685C482B97F6597534CFC26E">
    <w:name w:val="D0F39B3E685C482B97F6597534CFC26E"/>
    <w:rsid w:val="009A0ACF"/>
    <w:pPr>
      <w:spacing w:after="160" w:line="259" w:lineRule="auto"/>
    </w:pPr>
    <w:rPr>
      <w:lang w:val="en-CA" w:eastAsia="en-CA"/>
    </w:rPr>
  </w:style>
  <w:style w:type="paragraph" w:customStyle="1" w:styleId="E097579DA00E4031905F52494B7D59BF">
    <w:name w:val="E097579DA00E4031905F52494B7D59BF"/>
    <w:rsid w:val="005B0452"/>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85DB024B-01EB-46E5-BAE7-EB01A59DC7AF}">
  <ds:schemaRefs>
    <ds:schemaRef ds:uri="http://schemas.openxmlformats.org/officeDocument/2006/bibliography"/>
  </ds:schemaRefs>
</ds:datastoreItem>
</file>

<file path=customXml/itemProps4.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1405</Words>
  <Characters>8013</Characters>
  <Application>Microsoft Office Word</Application>
  <DocSecurity>0</DocSecurity>
  <Lines>66</Lines>
  <Paragraphs>18</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ПЯТОЕ ИЗДАНИЕ ГЛОБАЛЬНОЙ ПЕРСПЕКТИВЫ В ОБЛАСТИ БИОРАЗНООБРАЗИЯ И ЕГО РЕЗЮМЕ ДЛЯ ДИРЕКТИВНЫХ ОРГАНОВ</vt:lpstr>
      <vt:lpstr>ПЯТОЕ ИЗДАНИЕ ГЛОБАЛЬНОЙ ПЕРСПЕКТИВЫ В ОБЛАСТИ БИОРАЗНООБРАЗИЯ И ЕГО РЕЗЮМЕ ДЛЯ ДИРЕКТИВНЫХ ОРГАНОВ</vt:lpstr>
      <vt:lpstr>ПЯТОЕ ИЗДАНИЕ ГЛОБАЛЬНОЙ ПЕРСПЕКТИВЫ В ОБЛАСТИ БИОРАЗНООБРАЗИЯ И ЕГО РЕЗЮМЕ ДЛЯ ДИРЕКТИВНЫХ ОРГАНОВ</vt:lpstr>
    </vt:vector>
  </TitlesOfParts>
  <Company>SCBD</Company>
  <LinksUpToDate>false</LinksUpToDate>
  <CharactersWithSpaces>9400</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NP-4/7. Меры по оказанию поддержки созданию и развитию потенциала (статья 22) и повышению осведомленности (статья 21)</dc:title>
  <dc:subject>CBD/NP/MOP/DEC/4/7</dc:subject>
  <dc:creator>SBSTTA-24</dc:creator>
  <cp:keywords>Subsidiary Body on Scientific, Technical and Technological Advice, twenty-fourth meeting, Online, 3 May-13 June 2021</cp:keywords>
  <cp:lastModifiedBy>Xue He Yan</cp:lastModifiedBy>
  <cp:revision>8</cp:revision>
  <cp:lastPrinted>2021-05-26T11:03:00Z</cp:lastPrinted>
  <dcterms:created xsi:type="dcterms:W3CDTF">2023-02-09T22:49:00Z</dcterms:created>
  <dcterms:modified xsi:type="dcterms:W3CDTF">2023-02-10T14:37:00Z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