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168"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557"/>
      </w:tblGrid>
      <w:tr w:rsidR="00C9161D" w14:paraId="07F6750D" w14:textId="77777777" w:rsidTr="00BA662A">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33D8C3AA" w:rsidR="00FA663B" w:rsidRPr="00321985" w:rsidRDefault="003772B3" w:rsidP="00321985">
            <w:r w:rsidRPr="003772B3">
              <w:rPr>
                <w:noProof/>
                <w:lang w:eastAsia="fr-CA"/>
              </w:rPr>
              <w:drawing>
                <wp:inline distT="0" distB="0" distL="0" distR="0" wp14:anchorId="1DD72A8F" wp14:editId="62887A50">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3557"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Pr>
                <w:rFonts w:ascii="Arial" w:hAnsi="Arial" w:cs="Arial"/>
                <w:b/>
                <w:sz w:val="32"/>
                <w:szCs w:val="32"/>
              </w:rPr>
              <w:t>CDB</w:t>
            </w:r>
          </w:p>
        </w:tc>
      </w:tr>
      <w:tr w:rsidR="00C9161D" w14:paraId="6F751905" w14:textId="77777777" w:rsidTr="00BA662A">
        <w:tc>
          <w:tcPr>
            <w:tcW w:w="6117" w:type="dxa"/>
            <w:gridSpan w:val="2"/>
            <w:tcBorders>
              <w:top w:val="single" w:sz="12" w:space="0" w:color="auto"/>
              <w:bottom w:val="single" w:sz="36" w:space="0" w:color="auto"/>
            </w:tcBorders>
            <w:vAlign w:val="center"/>
          </w:tcPr>
          <w:p w14:paraId="14F52A6C" w14:textId="469EEB08" w:rsidR="00C9161D" w:rsidRDefault="003772B3" w:rsidP="00C9161D">
            <w:r w:rsidRPr="003E08D3">
              <w:rPr>
                <w:bCs/>
                <w:noProof/>
                <w:szCs w:val="22"/>
                <w:lang w:eastAsia="fr-CA"/>
              </w:rPr>
              <w:drawing>
                <wp:inline distT="0" distB="0" distL="0" distR="0" wp14:anchorId="59AB69B9" wp14:editId="2003B38D">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3557" w:type="dxa"/>
            <w:tcBorders>
              <w:top w:val="single" w:sz="12" w:space="0" w:color="auto"/>
              <w:bottom w:val="single" w:sz="36" w:space="0" w:color="auto"/>
            </w:tcBorders>
          </w:tcPr>
          <w:p w14:paraId="1C693BA4" w14:textId="77777777" w:rsidR="00C9161D" w:rsidRPr="00C9161D" w:rsidRDefault="00C9161D" w:rsidP="00176CEE">
            <w:pPr>
              <w:ind w:left="764"/>
              <w:rPr>
                <w:szCs w:val="22"/>
              </w:rPr>
            </w:pPr>
            <w:proofErr w:type="spellStart"/>
            <w:r>
              <w:rPr>
                <w:szCs w:val="22"/>
              </w:rPr>
              <w:t>Distr</w:t>
            </w:r>
            <w:proofErr w:type="spellEnd"/>
            <w:r>
              <w:rPr>
                <w:szCs w:val="22"/>
              </w:rPr>
              <w:t>.</w:t>
            </w:r>
          </w:p>
          <w:p w14:paraId="0C21C438" w14:textId="0AFD1A05" w:rsidR="00C9161D" w:rsidRPr="00C9161D" w:rsidRDefault="000D3CD0" w:rsidP="00176CEE">
            <w:pPr>
              <w:ind w:left="764"/>
              <w:rPr>
                <w:szCs w:val="22"/>
              </w:rPr>
            </w:pPr>
            <w:r>
              <w:rPr>
                <w:caps/>
                <w:szCs w:val="22"/>
              </w:rPr>
              <w:t>GÉNÉRALE</w:t>
            </w:r>
          </w:p>
          <w:p w14:paraId="06715052" w14:textId="77777777" w:rsidR="00C9161D" w:rsidRPr="00C9161D" w:rsidRDefault="00C9161D" w:rsidP="00176CEE">
            <w:pPr>
              <w:ind w:left="764"/>
              <w:rPr>
                <w:szCs w:val="22"/>
              </w:rPr>
            </w:pPr>
          </w:p>
          <w:p w14:paraId="44230134" w14:textId="2ADBE226" w:rsidR="00C9161D" w:rsidRPr="00C9161D" w:rsidRDefault="00000000" w:rsidP="00176CEE">
            <w:pPr>
              <w:ind w:left="764"/>
              <w:rPr>
                <w:szCs w:val="22"/>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0D3CD0" w:rsidRPr="00491C75">
                  <w:t>CBD/NP/MOP/DEC/4/6</w:t>
                </w:r>
              </w:sdtContent>
            </w:sdt>
          </w:p>
          <w:p w14:paraId="0DF1F033" w14:textId="3E33A0C9" w:rsidR="00C9161D" w:rsidRPr="00C9161D" w:rsidRDefault="0065095A" w:rsidP="00176CEE">
            <w:pPr>
              <w:ind w:left="764"/>
              <w:rPr>
                <w:szCs w:val="22"/>
              </w:rPr>
            </w:pPr>
            <w:r>
              <w:rPr>
                <w:szCs w:val="22"/>
              </w:rPr>
              <w:t>19 décembre 2022</w:t>
            </w:r>
          </w:p>
          <w:p w14:paraId="159892DF" w14:textId="77777777" w:rsidR="00C9161D" w:rsidRPr="00C9161D" w:rsidRDefault="00C9161D" w:rsidP="00176CEE">
            <w:pPr>
              <w:ind w:left="764"/>
              <w:rPr>
                <w:szCs w:val="22"/>
              </w:rPr>
            </w:pPr>
          </w:p>
          <w:p w14:paraId="19472D49" w14:textId="77777777" w:rsidR="00C9161D" w:rsidRPr="00C9161D" w:rsidRDefault="006B2290" w:rsidP="00176CEE">
            <w:pPr>
              <w:ind w:left="764"/>
              <w:rPr>
                <w:szCs w:val="22"/>
              </w:rPr>
            </w:pPr>
            <w:r>
              <w:rPr>
                <w:szCs w:val="22"/>
              </w:rPr>
              <w:t xml:space="preserve">FRANÇAIS </w:t>
            </w:r>
            <w:r>
              <w:rPr>
                <w:szCs w:val="22"/>
              </w:rPr>
              <w:br/>
              <w:t>ORIGINAL : ANGLAIS</w:t>
            </w:r>
          </w:p>
          <w:p w14:paraId="5AA10CCE" w14:textId="77777777" w:rsidR="00C9161D" w:rsidRDefault="00C9161D"/>
        </w:tc>
      </w:tr>
    </w:tbl>
    <w:p w14:paraId="1BF4A9A2" w14:textId="1D92CDB0" w:rsidR="003B7BB2" w:rsidRPr="00910961" w:rsidRDefault="003B7BB2" w:rsidP="00BA33A0">
      <w:pPr>
        <w:pStyle w:val="Cornernotation"/>
        <w:kinsoku w:val="0"/>
        <w:overflowPunct w:val="0"/>
        <w:autoSpaceDE w:val="0"/>
        <w:autoSpaceDN w:val="0"/>
        <w:spacing w:before="60"/>
        <w:ind w:left="227" w:right="3792" w:hanging="227"/>
        <w:rPr>
          <w:snapToGrid w:val="0"/>
          <w:kern w:val="22"/>
        </w:rPr>
      </w:pPr>
      <w:r>
        <w:rPr>
          <w:snapToGrid w:val="0"/>
          <w:kern w:val="22"/>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141C6194" w14:textId="056A5FC1" w:rsidR="003B7BB2" w:rsidRPr="00910961" w:rsidRDefault="00BA33A0" w:rsidP="00BA33A0">
      <w:pPr>
        <w:pStyle w:val="Cornernotation"/>
        <w:kinsoku w:val="0"/>
        <w:overflowPunct w:val="0"/>
        <w:autoSpaceDE w:val="0"/>
        <w:autoSpaceDN w:val="0"/>
        <w:ind w:left="0" w:right="3792" w:firstLine="0"/>
        <w:rPr>
          <w:snapToGrid w:val="0"/>
          <w:kern w:val="22"/>
        </w:rPr>
      </w:pPr>
      <w:r>
        <w:rPr>
          <w:snapToGrid w:val="0"/>
          <w:kern w:val="22"/>
        </w:rPr>
        <w:t>Quatrième réunion – deuxième partie</w:t>
      </w:r>
    </w:p>
    <w:p w14:paraId="4268D28C" w14:textId="4ABDCA7D" w:rsidR="003B7BB2" w:rsidRPr="00660CB5" w:rsidRDefault="00B26ACD" w:rsidP="00BA33A0">
      <w:pPr>
        <w:pStyle w:val="Cornernotation"/>
        <w:kinsoku w:val="0"/>
        <w:overflowPunct w:val="0"/>
        <w:autoSpaceDE w:val="0"/>
        <w:autoSpaceDN w:val="0"/>
        <w:ind w:left="227" w:right="3792" w:hanging="227"/>
        <w:rPr>
          <w:snapToGrid w:val="0"/>
          <w:kern w:val="22"/>
          <w:szCs w:val="22"/>
          <w:lang w:eastAsia="nb-NO"/>
        </w:rPr>
      </w:pPr>
      <w:r>
        <w:rPr>
          <w:snapToGrid w:val="0"/>
          <w:kern w:val="22"/>
          <w:szCs w:val="22"/>
        </w:rPr>
        <w:t>Montréal, Canada, 7-19 décembre 2022</w:t>
      </w:r>
    </w:p>
    <w:p w14:paraId="5ECF7635" w14:textId="2975A18C" w:rsidR="00C9161D" w:rsidRPr="00491C75" w:rsidRDefault="00B26ACD" w:rsidP="00BA33A0">
      <w:pPr>
        <w:ind w:right="3792"/>
        <w:rPr>
          <w:snapToGrid w:val="0"/>
          <w:kern w:val="22"/>
          <w:szCs w:val="22"/>
        </w:rPr>
      </w:pPr>
      <w:r>
        <w:rPr>
          <w:snapToGrid w:val="0"/>
          <w:kern w:val="22"/>
          <w:szCs w:val="22"/>
        </w:rPr>
        <w:t>Point 14 de l’ordre du jour</w:t>
      </w:r>
    </w:p>
    <w:p w14:paraId="3B588457" w14:textId="5900AD75" w:rsidR="000D3CD0" w:rsidRPr="00190BDE" w:rsidRDefault="00B17743" w:rsidP="00B64552">
      <w:pPr>
        <w:spacing w:before="240" w:after="240"/>
        <w:jc w:val="center"/>
        <w:rPr>
          <w:rFonts w:ascii="Times New Roman Bold" w:hAnsi="Times New Roman Bold"/>
          <w:b/>
          <w:bCs/>
          <w:caps/>
        </w:rPr>
      </w:pPr>
      <w:r>
        <w:rPr>
          <w:rFonts w:ascii="Times New Roman Bold" w:hAnsi="Times New Roman Bold"/>
          <w:b/>
          <w:bCs/>
          <w:caps/>
        </w:rPr>
        <w:t>Décision adoptée par les Parties au Protocole de Nagoya sur l'accès et le partage des avantages</w:t>
      </w:r>
    </w:p>
    <w:p w14:paraId="06F1B13C" w14:textId="2168F6BA" w:rsidR="00CF4136" w:rsidRPr="00FD0DB7" w:rsidRDefault="00000000" w:rsidP="00B64552">
      <w:pPr>
        <w:tabs>
          <w:tab w:val="left" w:pos="851"/>
        </w:tabs>
        <w:spacing w:before="240" w:after="240"/>
        <w:ind w:left="1584" w:hanging="1152"/>
        <w:jc w:val="center"/>
        <w:outlineLvl w:val="1"/>
        <w:rPr>
          <w:b/>
          <w:caps/>
        </w:rPr>
      </w:pPr>
      <w:sdt>
        <w:sdtPr>
          <w:rPr>
            <w:rFonts w:ascii="Times New Roman Bold" w:hAnsi="Times New Roman Bold"/>
            <w:kern w:val="22"/>
            <w:szCs w:val="22"/>
          </w:rPr>
          <w:alias w:val="Title"/>
          <w:tag w:val=""/>
          <w:id w:val="772832786"/>
          <w:placeholder>
            <w:docPart w:val="04FB16648429494D91F1F93A1F3A7ADC"/>
          </w:placeholder>
          <w:dataBinding w:prefixMappings="xmlns:ns0='http://purl.org/dc/elements/1.1/' xmlns:ns1='http://schemas.openxmlformats.org/package/2006/metadata/core-properties' " w:xpath="/ns1:coreProperties[1]/ns0:title[1]" w:storeItemID="{6C3C8BC8-F283-45AE-878A-BAB7291924A1}"/>
          <w:text/>
        </w:sdtPr>
        <w:sdtContent>
          <w:r w:rsidR="00D331E9" w:rsidRPr="00FD0DB7">
            <w:rPr>
              <w:rFonts w:ascii="Times New Roman Bold" w:hAnsi="Times New Roman Bold"/>
              <w:kern w:val="22"/>
              <w:szCs w:val="22"/>
            </w:rPr>
            <w:t>NP-4/6.</w:t>
          </w:r>
          <w:r w:rsidR="00D331E9" w:rsidRPr="00FD0DB7">
            <w:rPr>
              <w:rFonts w:ascii="Times New Roman Bold" w:hAnsi="Times New Roman Bold"/>
              <w:kern w:val="22"/>
              <w:szCs w:val="22"/>
            </w:rPr>
            <w:tab/>
          </w:r>
          <w:r w:rsidR="003772B3">
            <w:rPr>
              <w:rFonts w:ascii="Times New Roman Bold" w:hAnsi="Times New Roman Bold"/>
              <w:kern w:val="22"/>
              <w:szCs w:val="22"/>
            </w:rPr>
            <w:t>Information de séquençage numérique sur les ressources génétiques</w:t>
          </w:r>
        </w:sdtContent>
      </w:sdt>
    </w:p>
    <w:p w14:paraId="2FA69776" w14:textId="77777777" w:rsidR="0065095A" w:rsidRPr="00FD0DB7" w:rsidRDefault="0065095A" w:rsidP="0065095A">
      <w:pPr>
        <w:spacing w:before="120" w:after="120"/>
        <w:ind w:firstLine="720"/>
        <w:rPr>
          <w:rFonts w:eastAsia="Malgun Gothic"/>
          <w:i/>
          <w:color w:val="000000" w:themeColor="text1"/>
          <w:kern w:val="20"/>
        </w:rPr>
      </w:pPr>
      <w:r>
        <w:rPr>
          <w:rFonts w:eastAsia="Malgun Gothic"/>
          <w:i/>
          <w:color w:val="000000" w:themeColor="text1"/>
          <w:kern w:val="20"/>
        </w:rPr>
        <w:t>La Conférence des Parties siégeant en tant que réunion des Parties au Protocole de Nagoya,</w:t>
      </w:r>
    </w:p>
    <w:p w14:paraId="250D5B3E" w14:textId="77777777" w:rsidR="0065095A" w:rsidRDefault="0065095A" w:rsidP="0065095A">
      <w:pPr>
        <w:spacing w:before="120" w:after="120"/>
        <w:ind w:firstLine="720"/>
        <w:rPr>
          <w:rFonts w:eastAsia="Malgun Gothic"/>
          <w:iCs/>
          <w:color w:val="000000" w:themeColor="text1"/>
          <w:kern w:val="20"/>
        </w:rPr>
      </w:pPr>
      <w:r>
        <w:rPr>
          <w:rFonts w:eastAsia="Malgun Gothic"/>
          <w:i/>
          <w:color w:val="000000" w:themeColor="text1"/>
          <w:kern w:val="20"/>
        </w:rPr>
        <w:t xml:space="preserve">Rappelant la </w:t>
      </w:r>
      <w:r>
        <w:rPr>
          <w:rFonts w:eastAsia="Malgun Gothic"/>
          <w:iCs/>
          <w:color w:val="000000" w:themeColor="text1"/>
          <w:kern w:val="20"/>
        </w:rPr>
        <w:t>décision NP-3/12,</w:t>
      </w:r>
    </w:p>
    <w:p w14:paraId="0C72170B" w14:textId="162FD3C6" w:rsidR="0065095A" w:rsidRPr="00E03E2A" w:rsidRDefault="0065095A" w:rsidP="0065095A">
      <w:pPr>
        <w:pStyle w:val="Para1"/>
        <w:numPr>
          <w:ilvl w:val="0"/>
          <w:numId w:val="0"/>
        </w:numPr>
        <w:pBdr>
          <w:top w:val="nil"/>
          <w:left w:val="nil"/>
          <w:bottom w:val="nil"/>
          <w:right w:val="nil"/>
          <w:between w:val="nil"/>
          <w:bar w:val="nil"/>
        </w:pBdr>
        <w:tabs>
          <w:tab w:val="left" w:pos="360"/>
        </w:tabs>
        <w:ind w:firstLine="720"/>
        <w:rPr>
          <w:szCs w:val="22"/>
        </w:rPr>
      </w:pPr>
      <w:bookmarkStart w:id="0" w:name="_Toc118407980"/>
      <w:r>
        <w:rPr>
          <w:szCs w:val="22"/>
        </w:rPr>
        <w:t>1.</w:t>
      </w:r>
      <w:r>
        <w:rPr>
          <w:szCs w:val="22"/>
        </w:rPr>
        <w:tab/>
      </w:r>
      <w:r>
        <w:rPr>
          <w:i/>
          <w:iCs/>
          <w:szCs w:val="22"/>
        </w:rPr>
        <w:t>Se félicite</w:t>
      </w:r>
      <w:r>
        <w:rPr>
          <w:iCs/>
          <w:szCs w:val="22"/>
        </w:rPr>
        <w:t xml:space="preserve"> des résultats des délibérations du Groupe de travail à composition non limitée sur le cadre mondial de la biodiversité pour l’après</w:t>
      </w:r>
      <w:r>
        <w:rPr>
          <w:iCs/>
          <w:szCs w:val="22"/>
        </w:rPr>
        <w:noBreakHyphen/>
        <w:t>2020</w:t>
      </w:r>
      <w:r w:rsidR="00FE57EE">
        <w:rPr>
          <w:iCs/>
          <w:szCs w:val="22"/>
        </w:rPr>
        <w:t xml:space="preserve"> </w:t>
      </w:r>
      <w:r w:rsidR="00054428">
        <w:rPr>
          <w:iCs/>
          <w:szCs w:val="22"/>
        </w:rPr>
        <w:t>relativement à</w:t>
      </w:r>
      <w:r>
        <w:rPr>
          <w:iCs/>
          <w:szCs w:val="22"/>
        </w:rPr>
        <w:t xml:space="preserve"> l’information de séquençage numérique sur les ressources  génétiques ;</w:t>
      </w:r>
    </w:p>
    <w:p w14:paraId="0FEAB958" w14:textId="043958CA" w:rsidR="0065095A" w:rsidRPr="00E03E2A" w:rsidRDefault="0065095A" w:rsidP="0065095A">
      <w:pPr>
        <w:pStyle w:val="Para1"/>
        <w:numPr>
          <w:ilvl w:val="0"/>
          <w:numId w:val="0"/>
        </w:numPr>
        <w:pBdr>
          <w:top w:val="nil"/>
          <w:left w:val="nil"/>
          <w:bottom w:val="nil"/>
          <w:right w:val="nil"/>
          <w:between w:val="nil"/>
          <w:bar w:val="nil"/>
        </w:pBdr>
        <w:tabs>
          <w:tab w:val="left" w:pos="360"/>
        </w:tabs>
        <w:ind w:firstLine="720"/>
        <w:rPr>
          <w:szCs w:val="22"/>
        </w:rPr>
      </w:pPr>
      <w:r>
        <w:rPr>
          <w:szCs w:val="22"/>
        </w:rPr>
        <w:t>2.</w:t>
      </w:r>
      <w:r>
        <w:rPr>
          <w:szCs w:val="22"/>
        </w:rPr>
        <w:tab/>
      </w:r>
      <w:r>
        <w:rPr>
          <w:i/>
          <w:iCs/>
          <w:szCs w:val="22"/>
        </w:rPr>
        <w:t>Se félicite également</w:t>
      </w:r>
      <w:r>
        <w:rPr>
          <w:szCs w:val="22"/>
        </w:rPr>
        <w:t xml:space="preserve"> de la décision 15/9 de la Conférence des Parties à la Convention portant sur l’information de séquençage numérique sur les ressources génétiques et entérine le mécanisme multilatéral de partage des avantages découlant de l’utilisation de l’information de séquençage numérique sur les ressources génétiques défini aux termes de cette décision ;</w:t>
      </w:r>
    </w:p>
    <w:p w14:paraId="3AD52F39" w14:textId="57278018" w:rsidR="0065095A" w:rsidRDefault="0065095A" w:rsidP="0065095A">
      <w:pPr>
        <w:pStyle w:val="Para1"/>
        <w:numPr>
          <w:ilvl w:val="0"/>
          <w:numId w:val="0"/>
        </w:numPr>
        <w:pBdr>
          <w:top w:val="nil"/>
          <w:left w:val="nil"/>
          <w:bottom w:val="nil"/>
          <w:right w:val="nil"/>
          <w:between w:val="nil"/>
          <w:bar w:val="nil"/>
        </w:pBdr>
        <w:tabs>
          <w:tab w:val="left" w:pos="360"/>
        </w:tabs>
        <w:ind w:firstLine="720"/>
        <w:rPr>
          <w:iCs/>
          <w:szCs w:val="22"/>
        </w:rPr>
      </w:pPr>
      <w:r>
        <w:rPr>
          <w:szCs w:val="22"/>
        </w:rPr>
        <w:t>3.</w:t>
      </w:r>
      <w:r>
        <w:rPr>
          <w:szCs w:val="22"/>
        </w:rPr>
        <w:tab/>
      </w:r>
      <w:r>
        <w:rPr>
          <w:i/>
          <w:iCs/>
          <w:szCs w:val="22"/>
        </w:rPr>
        <w:t>Entérine en outre</w:t>
      </w:r>
      <w:r>
        <w:rPr>
          <w:szCs w:val="22"/>
        </w:rPr>
        <w:t xml:space="preserve"> le processus établi à la décision 15/9 et demande au Groupe de travail spécial à composition non limitée sur le partage des avantages découlant de l’utilisation de l’information de séquençage numérique sur les ressources génétiques de faire également rapport à la Conférence des Parties siégeant en tant que réunion des Parties au Protocole de Nagoya lors de sa cinquième réunion</w:t>
      </w:r>
      <w:r>
        <w:rPr>
          <w:i/>
          <w:iCs/>
          <w:szCs w:val="22"/>
        </w:rPr>
        <w:t>.</w:t>
      </w:r>
    </w:p>
    <w:bookmarkEnd w:id="0"/>
    <w:p w14:paraId="3093D971" w14:textId="78FFCBAB" w:rsidR="00B3369F" w:rsidRPr="00C9161D" w:rsidRDefault="00C9161D" w:rsidP="0065095A">
      <w:pPr>
        <w:jc w:val="center"/>
      </w:pPr>
      <w:r>
        <w:t>__________</w:t>
      </w:r>
    </w:p>
    <w:sectPr w:rsidR="00B3369F" w:rsidRPr="00C9161D" w:rsidSect="008F69C1">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9D76" w14:textId="77777777" w:rsidR="00B56ECD" w:rsidRDefault="00B56ECD" w:rsidP="00CF1848">
      <w:r>
        <w:separator/>
      </w:r>
    </w:p>
  </w:endnote>
  <w:endnote w:type="continuationSeparator" w:id="0">
    <w:p w14:paraId="532E604B" w14:textId="77777777" w:rsidR="00B56ECD" w:rsidRDefault="00B56EC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8AAC" w14:textId="77777777" w:rsidR="00B56ECD" w:rsidRDefault="00B56ECD" w:rsidP="00CF1848">
      <w:r>
        <w:separator/>
      </w:r>
    </w:p>
  </w:footnote>
  <w:footnote w:type="continuationSeparator" w:id="0">
    <w:p w14:paraId="0A69861A" w14:textId="77777777" w:rsidR="00B56ECD" w:rsidRDefault="00B56ECD"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66496397" w:rsidR="00534681" w:rsidRPr="00134846" w:rsidRDefault="000D3CD0" w:rsidP="00534681">
        <w:pPr>
          <w:pStyle w:val="En-tte"/>
        </w:pPr>
        <w:r>
          <w:t>CBD/NP/MOP/DEC/4/6</w:t>
        </w:r>
      </w:p>
    </w:sdtContent>
  </w:sdt>
  <w:p w14:paraId="1E0FDE0B" w14:textId="77777777" w:rsidR="00534681" w:rsidRPr="00134846" w:rsidRDefault="00534681" w:rsidP="00534681">
    <w:pPr>
      <w:pStyle w:val="En-tte"/>
    </w:pPr>
    <w:r>
      <w:t xml:space="preserve">Page </w:t>
    </w:r>
    <w:r>
      <w:fldChar w:fldCharType="begin"/>
    </w:r>
    <w:r>
      <w:rPr>
        <w:noProof/>
      </w:rPr>
      <w:instrText xml:space="preserve"> PAGE   \* MERGEFORMAT </w:instrText>
    </w:r>
    <w:r>
      <w:fldChar w:fldCharType="separate"/>
    </w:r>
    <w:r>
      <w:rPr>
        <w:noProof/>
      </w:rPr>
      <w:t>2</w:t>
    </w:r>
    <w:r>
      <w:fldChar w:fldCharType="end"/>
    </w:r>
  </w:p>
  <w:p w14:paraId="61C60697" w14:textId="77777777" w:rsidR="00534681" w:rsidRPr="00134846" w:rsidRDefault="005346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287E7CA3" w:rsidR="009505C9" w:rsidRPr="00134846" w:rsidRDefault="000D3CD0" w:rsidP="009505C9">
        <w:pPr>
          <w:pStyle w:val="En-tte"/>
          <w:jc w:val="right"/>
        </w:pPr>
        <w:r>
          <w:t>CBD/NP/MOP/DEC/4/6</w:t>
        </w:r>
      </w:p>
    </w:sdtContent>
  </w:sdt>
  <w:p w14:paraId="64AE8439" w14:textId="77777777" w:rsidR="009505C9" w:rsidRPr="00134846" w:rsidRDefault="009505C9" w:rsidP="009505C9">
    <w:pPr>
      <w:pStyle w:val="En-tte"/>
      <w:jc w:val="right"/>
    </w:pPr>
    <w:r>
      <w:t xml:space="preserve">Page </w:t>
    </w:r>
    <w:r>
      <w:fldChar w:fldCharType="begin"/>
    </w:r>
    <w:r>
      <w:rPr>
        <w:noProof/>
      </w:rPr>
      <w:instrText xml:space="preserve"> PAGE   \* MERGEFORMAT </w:instrText>
    </w:r>
    <w:r>
      <w:fldChar w:fldCharType="separate"/>
    </w:r>
    <w:r>
      <w:rPr>
        <w:noProof/>
      </w:rPr>
      <w:t>3</w:t>
    </w:r>
    <w:r>
      <w:fldChar w:fldCharType="end"/>
    </w:r>
  </w:p>
  <w:p w14:paraId="16137B8A" w14:textId="77777777" w:rsidR="009505C9" w:rsidRPr="00134846" w:rsidRDefault="009505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448531">
    <w:abstractNumId w:val="3"/>
  </w:num>
  <w:num w:numId="2" w16cid:durableId="1345209010">
    <w:abstractNumId w:val="6"/>
  </w:num>
  <w:num w:numId="3" w16cid:durableId="677391083">
    <w:abstractNumId w:val="4"/>
  </w:num>
  <w:num w:numId="4" w16cid:durableId="464009458">
    <w:abstractNumId w:val="6"/>
  </w:num>
  <w:num w:numId="5" w16cid:durableId="1411074706">
    <w:abstractNumId w:val="5"/>
  </w:num>
  <w:num w:numId="6" w16cid:durableId="2060545412">
    <w:abstractNumId w:val="0"/>
  </w:num>
  <w:num w:numId="7" w16cid:durableId="1070468371">
    <w:abstractNumId w:val="2"/>
  </w:num>
  <w:num w:numId="8" w16cid:durableId="328826015">
    <w:abstractNumId w:val="4"/>
    <w:lvlOverride w:ilvl="0">
      <w:startOverride w:val="1"/>
    </w:lvlOverride>
  </w:num>
  <w:num w:numId="9" w16cid:durableId="221329617">
    <w:abstractNumId w:val="9"/>
  </w:num>
  <w:num w:numId="10" w16cid:durableId="121656777">
    <w:abstractNumId w:val="4"/>
    <w:lvlOverride w:ilvl="0">
      <w:startOverride w:val="1"/>
    </w:lvlOverride>
  </w:num>
  <w:num w:numId="11" w16cid:durableId="1167355960">
    <w:abstractNumId w:val="4"/>
    <w:lvlOverride w:ilvl="0">
      <w:startOverride w:val="1"/>
    </w:lvlOverride>
  </w:num>
  <w:num w:numId="12" w16cid:durableId="1019887383">
    <w:abstractNumId w:val="4"/>
    <w:lvlOverride w:ilvl="0">
      <w:startOverride w:val="1"/>
    </w:lvlOverride>
  </w:num>
  <w:num w:numId="13" w16cid:durableId="545290672">
    <w:abstractNumId w:val="4"/>
    <w:lvlOverride w:ilvl="0">
      <w:startOverride w:val="1"/>
    </w:lvlOverride>
  </w:num>
  <w:num w:numId="14" w16cid:durableId="519507678">
    <w:abstractNumId w:val="8"/>
  </w:num>
  <w:num w:numId="15" w16cid:durableId="1236669129">
    <w:abstractNumId w:val="7"/>
  </w:num>
  <w:num w:numId="16" w16cid:durableId="683556296">
    <w:abstractNumId w:val="1"/>
  </w:num>
  <w:num w:numId="17" w16cid:durableId="1213662747">
    <w:abstractNumId w:val="10"/>
  </w:num>
  <w:num w:numId="18" w16cid:durableId="152574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0A25"/>
    <w:rsid w:val="0002567D"/>
    <w:rsid w:val="00054428"/>
    <w:rsid w:val="00055D4C"/>
    <w:rsid w:val="0007171B"/>
    <w:rsid w:val="000C64C2"/>
    <w:rsid w:val="000D3CD0"/>
    <w:rsid w:val="000E3B83"/>
    <w:rsid w:val="000E673A"/>
    <w:rsid w:val="000F74F5"/>
    <w:rsid w:val="00100DD2"/>
    <w:rsid w:val="00105372"/>
    <w:rsid w:val="00114B5E"/>
    <w:rsid w:val="001312AD"/>
    <w:rsid w:val="00131E7A"/>
    <w:rsid w:val="00134846"/>
    <w:rsid w:val="001721D1"/>
    <w:rsid w:val="00172AF6"/>
    <w:rsid w:val="00176CEE"/>
    <w:rsid w:val="00186DD8"/>
    <w:rsid w:val="001872A3"/>
    <w:rsid w:val="00190BDE"/>
    <w:rsid w:val="001B13FE"/>
    <w:rsid w:val="001B71FD"/>
    <w:rsid w:val="002B090F"/>
    <w:rsid w:val="002B6590"/>
    <w:rsid w:val="0030169D"/>
    <w:rsid w:val="003060EB"/>
    <w:rsid w:val="00306726"/>
    <w:rsid w:val="003153EB"/>
    <w:rsid w:val="00321985"/>
    <w:rsid w:val="00340566"/>
    <w:rsid w:val="00351205"/>
    <w:rsid w:val="00372F74"/>
    <w:rsid w:val="003772B3"/>
    <w:rsid w:val="00386DD9"/>
    <w:rsid w:val="003B7BB2"/>
    <w:rsid w:val="003E34D5"/>
    <w:rsid w:val="003F7224"/>
    <w:rsid w:val="004255C0"/>
    <w:rsid w:val="00427D21"/>
    <w:rsid w:val="0045126F"/>
    <w:rsid w:val="004529F9"/>
    <w:rsid w:val="004644C2"/>
    <w:rsid w:val="00467F9C"/>
    <w:rsid w:val="00491C75"/>
    <w:rsid w:val="00491D8F"/>
    <w:rsid w:val="004958CB"/>
    <w:rsid w:val="004A7C90"/>
    <w:rsid w:val="004F1172"/>
    <w:rsid w:val="00534681"/>
    <w:rsid w:val="00563442"/>
    <w:rsid w:val="00565B42"/>
    <w:rsid w:val="005944C3"/>
    <w:rsid w:val="005B4ADC"/>
    <w:rsid w:val="005C4CE6"/>
    <w:rsid w:val="005E0ED3"/>
    <w:rsid w:val="005F3CFC"/>
    <w:rsid w:val="00605E21"/>
    <w:rsid w:val="006122BA"/>
    <w:rsid w:val="0065095A"/>
    <w:rsid w:val="00675F74"/>
    <w:rsid w:val="006A256A"/>
    <w:rsid w:val="006B2290"/>
    <w:rsid w:val="00717D88"/>
    <w:rsid w:val="00786056"/>
    <w:rsid w:val="007942D3"/>
    <w:rsid w:val="007B2099"/>
    <w:rsid w:val="007B6C09"/>
    <w:rsid w:val="007B7741"/>
    <w:rsid w:val="007C0A15"/>
    <w:rsid w:val="007E09DA"/>
    <w:rsid w:val="0080216E"/>
    <w:rsid w:val="008178B6"/>
    <w:rsid w:val="0083009D"/>
    <w:rsid w:val="00865B74"/>
    <w:rsid w:val="008822F6"/>
    <w:rsid w:val="008974F0"/>
    <w:rsid w:val="008B012A"/>
    <w:rsid w:val="008F69C1"/>
    <w:rsid w:val="00906E17"/>
    <w:rsid w:val="009133E7"/>
    <w:rsid w:val="00930BA1"/>
    <w:rsid w:val="0093169E"/>
    <w:rsid w:val="00937130"/>
    <w:rsid w:val="009505C9"/>
    <w:rsid w:val="00950752"/>
    <w:rsid w:val="00966424"/>
    <w:rsid w:val="009C2DE6"/>
    <w:rsid w:val="00A1252A"/>
    <w:rsid w:val="00A346E1"/>
    <w:rsid w:val="00A7437E"/>
    <w:rsid w:val="00AA0F13"/>
    <w:rsid w:val="00AA40ED"/>
    <w:rsid w:val="00AA6F92"/>
    <w:rsid w:val="00AB6934"/>
    <w:rsid w:val="00AC5E51"/>
    <w:rsid w:val="00AD7FFC"/>
    <w:rsid w:val="00AF42DE"/>
    <w:rsid w:val="00B17743"/>
    <w:rsid w:val="00B26ACD"/>
    <w:rsid w:val="00B3369F"/>
    <w:rsid w:val="00B5659E"/>
    <w:rsid w:val="00B56ECD"/>
    <w:rsid w:val="00B64552"/>
    <w:rsid w:val="00B94E6C"/>
    <w:rsid w:val="00BA33A0"/>
    <w:rsid w:val="00BA662A"/>
    <w:rsid w:val="00BB4606"/>
    <w:rsid w:val="00BF11F9"/>
    <w:rsid w:val="00BF6B78"/>
    <w:rsid w:val="00C226B2"/>
    <w:rsid w:val="00C23D2F"/>
    <w:rsid w:val="00C443BD"/>
    <w:rsid w:val="00C451C5"/>
    <w:rsid w:val="00C9161D"/>
    <w:rsid w:val="00C96D3B"/>
    <w:rsid w:val="00CA0C1D"/>
    <w:rsid w:val="00CA7DBA"/>
    <w:rsid w:val="00CC13C1"/>
    <w:rsid w:val="00CF1848"/>
    <w:rsid w:val="00CF4136"/>
    <w:rsid w:val="00D07E1D"/>
    <w:rsid w:val="00D12044"/>
    <w:rsid w:val="00D21C2B"/>
    <w:rsid w:val="00D30264"/>
    <w:rsid w:val="00D331E9"/>
    <w:rsid w:val="00D33EFC"/>
    <w:rsid w:val="00D40DBC"/>
    <w:rsid w:val="00D542BA"/>
    <w:rsid w:val="00D76A18"/>
    <w:rsid w:val="00D80849"/>
    <w:rsid w:val="00D82E8F"/>
    <w:rsid w:val="00DD118C"/>
    <w:rsid w:val="00E03E2A"/>
    <w:rsid w:val="00E13ADA"/>
    <w:rsid w:val="00E361B6"/>
    <w:rsid w:val="00E514EC"/>
    <w:rsid w:val="00E66235"/>
    <w:rsid w:val="00E83C24"/>
    <w:rsid w:val="00E9318D"/>
    <w:rsid w:val="00EB3020"/>
    <w:rsid w:val="00EC1F46"/>
    <w:rsid w:val="00F53193"/>
    <w:rsid w:val="00F5357E"/>
    <w:rsid w:val="00F6586C"/>
    <w:rsid w:val="00F76AC6"/>
    <w:rsid w:val="00F94774"/>
    <w:rsid w:val="00FA0E9A"/>
    <w:rsid w:val="00FA663B"/>
    <w:rsid w:val="00FB2705"/>
    <w:rsid w:val="00FC25F8"/>
    <w:rsid w:val="00FC53DB"/>
    <w:rsid w:val="00FD0DB7"/>
    <w:rsid w:val="00FE2131"/>
    <w:rsid w:val="00FE57E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semiHidden/>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Rvision">
    <w:name w:val="Revision"/>
    <w:hidden/>
    <w:uiPriority w:val="99"/>
    <w:semiHidden/>
    <w:rsid w:val="000D3CD0"/>
    <w:rPr>
      <w:rFonts w:ascii="Times New Roman" w:eastAsia="Times New Roman" w:hAnsi="Times New Roman" w:cs="Times New Roman"/>
      <w:sz w:val="22"/>
    </w:rPr>
  </w:style>
  <w:style w:type="paragraph" w:styleId="Objetducommentaire">
    <w:name w:val="annotation subject"/>
    <w:basedOn w:val="Commentaire"/>
    <w:next w:val="Commentaire"/>
    <w:link w:val="ObjetducommentaireCar"/>
    <w:uiPriority w:val="99"/>
    <w:semiHidden/>
    <w:unhideWhenUsed/>
    <w:rsid w:val="004A7C9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4A7C9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04FB16648429494D91F1F93A1F3A7ADC"/>
        <w:category>
          <w:name w:val="General"/>
          <w:gallery w:val="placeholder"/>
        </w:category>
        <w:types>
          <w:type w:val="bbPlcHdr"/>
        </w:types>
        <w:behaviors>
          <w:behavior w:val="content"/>
        </w:behaviors>
        <w:guid w:val="{3CF6D5D3-52DD-4A5D-8048-19E631832CC9}"/>
      </w:docPartPr>
      <w:docPartBody>
        <w:p w:rsidR="00A4117B" w:rsidRDefault="00591990" w:rsidP="00591990">
          <w:pPr>
            <w:pStyle w:val="04FB16648429494D91F1F93A1F3A7ADC"/>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45D8"/>
    <w:rsid w:val="00303247"/>
    <w:rsid w:val="00355634"/>
    <w:rsid w:val="003C042C"/>
    <w:rsid w:val="0046422C"/>
    <w:rsid w:val="004760CF"/>
    <w:rsid w:val="004E092F"/>
    <w:rsid w:val="00500A2B"/>
    <w:rsid w:val="005412A1"/>
    <w:rsid w:val="0058288D"/>
    <w:rsid w:val="005873B3"/>
    <w:rsid w:val="00591990"/>
    <w:rsid w:val="00664217"/>
    <w:rsid w:val="00665C6B"/>
    <w:rsid w:val="006801B3"/>
    <w:rsid w:val="006E6190"/>
    <w:rsid w:val="007A11FA"/>
    <w:rsid w:val="00810A55"/>
    <w:rsid w:val="008A62F7"/>
    <w:rsid w:val="008C6619"/>
    <w:rsid w:val="008D420E"/>
    <w:rsid w:val="0098642F"/>
    <w:rsid w:val="00A354F4"/>
    <w:rsid w:val="00A4117B"/>
    <w:rsid w:val="00A977C9"/>
    <w:rsid w:val="00B27D2C"/>
    <w:rsid w:val="00C8104B"/>
    <w:rsid w:val="00D31D12"/>
    <w:rsid w:val="00F72A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1990"/>
    <w:rPr>
      <w:color w:val="808080"/>
    </w:rPr>
  </w:style>
  <w:style w:type="paragraph" w:customStyle="1" w:styleId="04FB16648429494D91F1F93A1F3A7ADC">
    <w:name w:val="04FB16648429494D91F1F93A1F3A7ADC"/>
    <w:rsid w:val="00591990"/>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0A3FDA6C-493E-4958-BDDB-657DE11BD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SCBD</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NP-4/6.	Information de séquençage numérique sur les ressources génétiques</dc:title>
  <dc:subject>CBD/NP/MOP/DEC/4/6</dc:subject>
  <dc:creator>SCBD</dc:creator>
  <cp:keywords>Decision adopted by the Parties to the Nagoya Protocol on Access and Benefit-sharing</cp:keywords>
  <cp:lastModifiedBy>VDS</cp:lastModifiedBy>
  <cp:revision>6</cp:revision>
  <cp:lastPrinted>2020-01-21T16:56:00Z</cp:lastPrinted>
  <dcterms:created xsi:type="dcterms:W3CDTF">2023-02-01T07:24:00Z</dcterms:created>
  <dcterms:modified xsi:type="dcterms:W3CDTF">2023-02-01T07:31:00Z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