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367A1E" w:rsidRPr="00A1040E" w14:paraId="3239E679" w14:textId="77777777" w:rsidTr="00761987">
        <w:trPr>
          <w:trHeight w:val="709"/>
        </w:trPr>
        <w:tc>
          <w:tcPr>
            <w:tcW w:w="976" w:type="dxa"/>
            <w:tcBorders>
              <w:bottom w:val="single" w:sz="12" w:space="0" w:color="auto"/>
            </w:tcBorders>
          </w:tcPr>
          <w:p w14:paraId="7741BAC2" w14:textId="77777777" w:rsidR="00367A1E" w:rsidRPr="000346A8" w:rsidRDefault="00367A1E" w:rsidP="00B440E0">
            <w:pPr>
              <w:rPr>
                <w:kern w:val="22"/>
              </w:rPr>
            </w:pPr>
            <w:r w:rsidRPr="000346A8">
              <w:rPr>
                <w:noProof/>
                <w:kern w:val="22"/>
              </w:rPr>
              <w:drawing>
                <wp:inline distT="0" distB="0" distL="0" distR="0" wp14:anchorId="7815FCE1" wp14:editId="7E933B7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A6AECC" w14:textId="77777777" w:rsidR="00367A1E" w:rsidRPr="000346A8" w:rsidRDefault="00367A1E">
            <w:pPr>
              <w:rPr>
                <w:kern w:val="22"/>
              </w:rPr>
            </w:pPr>
            <w:r w:rsidRPr="000346A8">
              <w:rPr>
                <w:noProof/>
                <w:kern w:val="22"/>
              </w:rPr>
              <w:drawing>
                <wp:inline distT="0" distB="0" distL="0" distR="0" wp14:anchorId="715D74FC" wp14:editId="295DD445">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88C8793" w14:textId="77777777" w:rsidR="00367A1E" w:rsidRPr="000346A8" w:rsidRDefault="00367A1E">
            <w:pPr>
              <w:jc w:val="right"/>
              <w:rPr>
                <w:rFonts w:ascii="Arial" w:hAnsi="Arial" w:cs="Arial"/>
                <w:b/>
                <w:kern w:val="22"/>
                <w:sz w:val="32"/>
                <w:szCs w:val="32"/>
              </w:rPr>
            </w:pPr>
            <w:r w:rsidRPr="000346A8">
              <w:rPr>
                <w:rFonts w:ascii="Arial" w:hAnsi="Arial" w:cs="Arial"/>
                <w:b/>
                <w:kern w:val="22"/>
                <w:sz w:val="32"/>
                <w:szCs w:val="32"/>
              </w:rPr>
              <w:t>CBD</w:t>
            </w:r>
          </w:p>
        </w:tc>
      </w:tr>
      <w:tr w:rsidR="00367A1E" w:rsidRPr="00A1040E" w14:paraId="3E0244CB" w14:textId="77777777" w:rsidTr="00761987">
        <w:tc>
          <w:tcPr>
            <w:tcW w:w="6117" w:type="dxa"/>
            <w:gridSpan w:val="2"/>
            <w:tcBorders>
              <w:top w:val="single" w:sz="12" w:space="0" w:color="auto"/>
              <w:bottom w:val="single" w:sz="36" w:space="0" w:color="auto"/>
            </w:tcBorders>
            <w:vAlign w:val="center"/>
          </w:tcPr>
          <w:p w14:paraId="724B8227" w14:textId="77777777" w:rsidR="00367A1E" w:rsidRPr="000346A8" w:rsidRDefault="00367A1E">
            <w:pPr>
              <w:rPr>
                <w:kern w:val="22"/>
              </w:rPr>
            </w:pPr>
            <w:r w:rsidRPr="000346A8">
              <w:rPr>
                <w:noProof/>
                <w:kern w:val="22"/>
              </w:rPr>
              <w:drawing>
                <wp:inline distT="0" distB="0" distL="0" distR="0" wp14:anchorId="0FA52420" wp14:editId="4D6796EC">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78282732" w14:textId="77777777" w:rsidR="00164138" w:rsidRPr="000346A8" w:rsidRDefault="00164138" w:rsidP="000346A8">
            <w:pPr>
              <w:ind w:left="1215"/>
              <w:jc w:val="left"/>
              <w:rPr>
                <w:kern w:val="22"/>
              </w:rPr>
            </w:pPr>
            <w:r w:rsidRPr="000346A8">
              <w:rPr>
                <w:kern w:val="22"/>
              </w:rPr>
              <w:t>Distr.</w:t>
            </w:r>
          </w:p>
          <w:p w14:paraId="3774A552" w14:textId="6A5D43CF" w:rsidR="00164138" w:rsidRPr="000346A8" w:rsidRDefault="00EA53AC" w:rsidP="000346A8">
            <w:pPr>
              <w:ind w:left="1215"/>
              <w:jc w:val="left"/>
              <w:rPr>
                <w:kern w:val="22"/>
              </w:rPr>
            </w:pPr>
            <w:sdt>
              <w:sdtPr>
                <w:rPr>
                  <w:kern w:val="22"/>
                </w:rPr>
                <w:alias w:val="Status"/>
                <w:tag w:val=""/>
                <w:id w:val="307985777"/>
                <w:placeholder>
                  <w:docPart w:val="0FA5E1E0E1C148418C8620149AA7FA9E"/>
                </w:placeholder>
                <w:dataBinding w:prefixMappings="xmlns:ns0='http://purl.org/dc/elements/1.1/' xmlns:ns1='http://schemas.openxmlformats.org/package/2006/metadata/core-properties' " w:xpath="/ns1:coreProperties[1]/ns1:contentStatus[1]" w:storeItemID="{6C3C8BC8-F283-45AE-878A-BAB7291924A1}"/>
                <w:text/>
              </w:sdtPr>
              <w:sdtEndPr/>
              <w:sdtContent>
                <w:r w:rsidR="00FB1382" w:rsidRPr="000346A8">
                  <w:rPr>
                    <w:kern w:val="22"/>
                  </w:rPr>
                  <w:t>GENERAL</w:t>
                </w:r>
              </w:sdtContent>
            </w:sdt>
          </w:p>
          <w:p w14:paraId="10F713E2" w14:textId="77777777" w:rsidR="00164138" w:rsidRPr="000346A8" w:rsidRDefault="00164138" w:rsidP="000346A8">
            <w:pPr>
              <w:ind w:left="1215"/>
              <w:jc w:val="left"/>
              <w:rPr>
                <w:kern w:val="22"/>
              </w:rPr>
            </w:pPr>
          </w:p>
          <w:p w14:paraId="71C27773" w14:textId="5ACCC7E6" w:rsidR="00164138" w:rsidRPr="000346A8" w:rsidRDefault="00EA53AC" w:rsidP="000346A8">
            <w:pPr>
              <w:ind w:left="1215"/>
              <w:jc w:val="left"/>
              <w:rPr>
                <w:kern w:val="22"/>
              </w:rPr>
            </w:pPr>
            <w:sdt>
              <w:sdtPr>
                <w:rPr>
                  <w:kern w:val="22"/>
                </w:rPr>
                <w:alias w:val="Subject"/>
                <w:tag w:val=""/>
                <w:id w:val="2137136483"/>
                <w:placeholder>
                  <w:docPart w:val="F21BA752DB754375B02F636BE36B09D4"/>
                </w:placeholder>
                <w:dataBinding w:prefixMappings="xmlns:ns0='http://purl.org/dc/elements/1.1/' xmlns:ns1='http://schemas.openxmlformats.org/package/2006/metadata/core-properties' " w:xpath="/ns1:coreProperties[1]/ns0:subject[1]" w:storeItemID="{6C3C8BC8-F283-45AE-878A-BAB7291924A1}"/>
                <w:text/>
              </w:sdtPr>
              <w:sdtEndPr/>
              <w:sdtContent>
                <w:r w:rsidR="00520A51">
                  <w:rPr>
                    <w:kern w:val="22"/>
                  </w:rPr>
                  <w:t>CBD/NP/</w:t>
                </w:r>
                <w:r w:rsidR="00FB1382" w:rsidRPr="000346A8">
                  <w:rPr>
                    <w:kern w:val="22"/>
                  </w:rPr>
                  <w:t>MOP/DEC/3/1</w:t>
                </w:r>
              </w:sdtContent>
            </w:sdt>
          </w:p>
          <w:p w14:paraId="4C6D7960" w14:textId="7640BBBA" w:rsidR="00164138" w:rsidRPr="000346A8" w:rsidRDefault="00FB1382" w:rsidP="000346A8">
            <w:pPr>
              <w:ind w:left="1215"/>
              <w:jc w:val="left"/>
              <w:rPr>
                <w:kern w:val="22"/>
              </w:rPr>
            </w:pPr>
            <w:r w:rsidRPr="000346A8">
              <w:rPr>
                <w:kern w:val="22"/>
              </w:rPr>
              <w:t xml:space="preserve">30 </w:t>
            </w:r>
            <w:r w:rsidR="00164138" w:rsidRPr="000346A8">
              <w:rPr>
                <w:kern w:val="22"/>
              </w:rPr>
              <w:t>November 2018</w:t>
            </w:r>
          </w:p>
          <w:p w14:paraId="1ED648CB" w14:textId="77777777" w:rsidR="00164138" w:rsidRPr="000346A8" w:rsidRDefault="00164138" w:rsidP="000346A8">
            <w:pPr>
              <w:ind w:left="1215"/>
              <w:jc w:val="left"/>
              <w:rPr>
                <w:kern w:val="22"/>
              </w:rPr>
            </w:pPr>
          </w:p>
          <w:p w14:paraId="1DB36353" w14:textId="77777777" w:rsidR="00164138" w:rsidRPr="000346A8" w:rsidRDefault="00164138" w:rsidP="000346A8">
            <w:pPr>
              <w:ind w:left="1215"/>
              <w:jc w:val="left"/>
              <w:rPr>
                <w:kern w:val="22"/>
              </w:rPr>
            </w:pPr>
            <w:r w:rsidRPr="000346A8">
              <w:rPr>
                <w:kern w:val="22"/>
              </w:rPr>
              <w:t>ORIGINAL: ENGLISH</w:t>
            </w:r>
          </w:p>
          <w:p w14:paraId="72B8FE57" w14:textId="77777777" w:rsidR="00367A1E" w:rsidRPr="000346A8" w:rsidRDefault="00367A1E" w:rsidP="000346A8">
            <w:pPr>
              <w:ind w:left="1215"/>
              <w:jc w:val="left"/>
              <w:rPr>
                <w:kern w:val="22"/>
              </w:rPr>
            </w:pPr>
          </w:p>
        </w:tc>
      </w:tr>
    </w:tbl>
    <w:p w14:paraId="4C52CC53" w14:textId="77777777" w:rsidR="005345E1" w:rsidRPr="00C649EC" w:rsidRDefault="005345E1">
      <w:pPr>
        <w:suppressLineNumbers/>
        <w:tabs>
          <w:tab w:val="left" w:pos="5580"/>
        </w:tabs>
        <w:suppressAutoHyphens/>
        <w:kinsoku w:val="0"/>
        <w:overflowPunct w:val="0"/>
        <w:autoSpaceDE w:val="0"/>
        <w:autoSpaceDN w:val="0"/>
        <w:ind w:left="170" w:right="3938" w:hanging="170"/>
        <w:jc w:val="left"/>
        <w:rPr>
          <w:rFonts w:eastAsia="Batang"/>
          <w:snapToGrid w:val="0"/>
          <w:kern w:val="22"/>
          <w:szCs w:val="22"/>
        </w:rPr>
      </w:pPr>
      <w:r w:rsidRPr="00A1040E">
        <w:rPr>
          <w:rFonts w:eastAsia="Batang"/>
          <w:snapToGrid w:val="0"/>
          <w:kern w:val="22"/>
          <w:szCs w:val="22"/>
        </w:rPr>
        <w:t xml:space="preserve">CONFERENCE OF THE PARTIES TO THE CONVENTION ON BIOLOGICAL DIVERSITY </w:t>
      </w:r>
      <w:r w:rsidRPr="008964A8">
        <w:rPr>
          <w:rFonts w:eastAsia="Batang"/>
          <w:snapToGrid w:val="0"/>
          <w:kern w:val="22"/>
          <w:szCs w:val="22"/>
        </w:rPr>
        <w:t xml:space="preserve">SERVING AS THE MEETING OF THE PARTIES TO THE NAGOYA PROTOCOL ON ACCESS TO </w:t>
      </w:r>
      <w:r w:rsidRPr="00C649EC">
        <w:rPr>
          <w:rFonts w:eastAsia="Batang"/>
          <w:snapToGrid w:val="0"/>
          <w:kern w:val="22"/>
          <w:szCs w:val="22"/>
        </w:rPr>
        <w:t>GENETIC RESOURCES AND THE FAIR AND EQUITABLE SHARING OF BENEFITS ARISING FROM THEIR UTILIZATION</w:t>
      </w:r>
    </w:p>
    <w:p w14:paraId="1F755F06" w14:textId="77777777" w:rsidR="005345E1" w:rsidRPr="00A1040E" w:rsidRDefault="005345E1">
      <w:pPr>
        <w:suppressLineNumbers/>
        <w:suppressAutoHyphens/>
        <w:kinsoku w:val="0"/>
        <w:overflowPunct w:val="0"/>
        <w:autoSpaceDE w:val="0"/>
        <w:autoSpaceDN w:val="0"/>
        <w:ind w:left="170" w:right="3119" w:hanging="170"/>
        <w:jc w:val="left"/>
        <w:rPr>
          <w:rFonts w:eastAsia="Batang"/>
          <w:snapToGrid w:val="0"/>
          <w:kern w:val="22"/>
          <w:szCs w:val="22"/>
        </w:rPr>
      </w:pPr>
      <w:r w:rsidRPr="00A1040E">
        <w:rPr>
          <w:rFonts w:eastAsia="Batang"/>
          <w:snapToGrid w:val="0"/>
          <w:kern w:val="22"/>
          <w:szCs w:val="22"/>
        </w:rPr>
        <w:t>Third meeting</w:t>
      </w:r>
    </w:p>
    <w:p w14:paraId="07FB6C1B" w14:textId="77777777" w:rsidR="006F1189" w:rsidRPr="00A1040E" w:rsidRDefault="006F1189">
      <w:pPr>
        <w:suppressLineNumbers/>
        <w:suppressAutoHyphens/>
        <w:kinsoku w:val="0"/>
        <w:overflowPunct w:val="0"/>
        <w:autoSpaceDE w:val="0"/>
        <w:autoSpaceDN w:val="0"/>
        <w:rPr>
          <w:snapToGrid w:val="0"/>
          <w:kern w:val="22"/>
          <w:szCs w:val="22"/>
          <w:lang w:eastAsia="nb-NO"/>
        </w:rPr>
      </w:pPr>
      <w:bookmarkStart w:id="0" w:name="_Hlk505863673"/>
      <w:r w:rsidRPr="00A1040E">
        <w:rPr>
          <w:snapToGrid w:val="0"/>
          <w:kern w:val="22"/>
          <w:szCs w:val="22"/>
          <w:lang w:eastAsia="nb-NO"/>
        </w:rPr>
        <w:t>Sharm El-Sheikh, Egypt</w:t>
      </w:r>
      <w:bookmarkEnd w:id="0"/>
      <w:r w:rsidRPr="00A1040E">
        <w:rPr>
          <w:snapToGrid w:val="0"/>
          <w:kern w:val="22"/>
          <w:szCs w:val="22"/>
          <w:lang w:eastAsia="nb-NO"/>
        </w:rPr>
        <w:t>, 17-29 November 2018</w:t>
      </w:r>
    </w:p>
    <w:p w14:paraId="0B9BBCE1" w14:textId="1D1013E9" w:rsidR="00C9161D" w:rsidRPr="000346A8" w:rsidRDefault="0038613F">
      <w:pPr>
        <w:rPr>
          <w:kern w:val="22"/>
          <w:szCs w:val="22"/>
        </w:rPr>
      </w:pPr>
      <w:r w:rsidRPr="000346A8">
        <w:rPr>
          <w:kern w:val="22"/>
          <w:szCs w:val="22"/>
        </w:rPr>
        <w:t>Agenda item 7</w:t>
      </w:r>
    </w:p>
    <w:p w14:paraId="0CD88E0A" w14:textId="775A9B0D" w:rsidR="00FB1382" w:rsidRPr="000346A8" w:rsidRDefault="00A1040E" w:rsidP="000346A8">
      <w:pPr>
        <w:pStyle w:val="Heading1"/>
        <w:tabs>
          <w:tab w:val="clear" w:pos="720"/>
        </w:tabs>
        <w:rPr>
          <w:rFonts w:ascii="Times New Roman Bold" w:hAnsi="Times New Roman Bold"/>
          <w:kern w:val="22"/>
          <w:szCs w:val="22"/>
        </w:rPr>
      </w:pPr>
      <w:r w:rsidRPr="00A1040E">
        <w:rPr>
          <w:rFonts w:ascii="Times New Roman Bold" w:hAnsi="Times New Roman Bold"/>
          <w:kern w:val="22"/>
        </w:rPr>
        <w:t xml:space="preserve">Decision </w:t>
      </w:r>
      <w:r w:rsidRPr="0052359B">
        <w:rPr>
          <w:rFonts w:ascii="Times New Roman Bold" w:hAnsi="Times New Roman Bold"/>
          <w:kern w:val="22"/>
        </w:rPr>
        <w:t xml:space="preserve">adopted by the </w:t>
      </w:r>
      <w:r w:rsidRPr="004C7F0D">
        <w:rPr>
          <w:rFonts w:ascii="Times New Roman Bold" w:hAnsi="Times New Roman Bold"/>
          <w:kern w:val="22"/>
        </w:rPr>
        <w:t xml:space="preserve">Parties </w:t>
      </w:r>
      <w:r w:rsidRPr="008964A8">
        <w:rPr>
          <w:rFonts w:ascii="Times New Roman Bold" w:hAnsi="Times New Roman Bold"/>
          <w:kern w:val="22"/>
        </w:rPr>
        <w:t>to the Nagoya Protocol on Access and Benefit-sharing</w:t>
      </w:r>
    </w:p>
    <w:p w14:paraId="17135E3E" w14:textId="2E51C211" w:rsidR="005A70F4" w:rsidRPr="000346A8" w:rsidRDefault="00EA53AC" w:rsidP="000346A8">
      <w:pPr>
        <w:pStyle w:val="recommendationheader"/>
        <w:rPr>
          <w:caps/>
          <w:kern w:val="22"/>
        </w:rPr>
      </w:pPr>
      <w:sdt>
        <w:sdtPr>
          <w:rPr>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FB1382" w:rsidRPr="000346A8">
            <w:rPr>
              <w:kern w:val="22"/>
            </w:rPr>
            <w:t>3/1.</w:t>
          </w:r>
          <w:r w:rsidR="00FB1382" w:rsidRPr="000346A8">
            <w:rPr>
              <w:kern w:val="22"/>
            </w:rPr>
            <w:tab/>
            <w:t>Assessment and review of the effectiveness of the Protocol (Article 31)</w:t>
          </w:r>
        </w:sdtContent>
      </w:sdt>
    </w:p>
    <w:p w14:paraId="0C6F9424" w14:textId="2FF1132A" w:rsidR="0038613F" w:rsidRPr="000346A8" w:rsidRDefault="0038613F" w:rsidP="000346A8">
      <w:pPr>
        <w:pStyle w:val="ListParagraph"/>
        <w:keepNext/>
        <w:numPr>
          <w:ilvl w:val="0"/>
          <w:numId w:val="19"/>
        </w:numPr>
        <w:spacing w:before="120" w:after="120"/>
        <w:ind w:left="0" w:hanging="11"/>
        <w:contextualSpacing w:val="0"/>
        <w:jc w:val="center"/>
        <w:rPr>
          <w:rFonts w:eastAsia="Malgun Gothic"/>
          <w:b/>
          <w:snapToGrid w:val="0"/>
          <w:kern w:val="22"/>
          <w:szCs w:val="22"/>
          <w:lang w:eastAsia="x-none"/>
        </w:rPr>
      </w:pPr>
      <w:r w:rsidRPr="00A1040E">
        <w:rPr>
          <w:rFonts w:eastAsia="Malgun Gothic"/>
          <w:b/>
          <w:snapToGrid w:val="0"/>
          <w:kern w:val="22"/>
          <w:szCs w:val="22"/>
          <w:lang w:eastAsia="en-CA"/>
        </w:rPr>
        <w:t>First assessment and review of the effectiveness of the Protocol</w:t>
      </w:r>
    </w:p>
    <w:p w14:paraId="5122C244" w14:textId="3940C870" w:rsidR="0038613F" w:rsidRPr="00AF5130" w:rsidDel="005A70F4" w:rsidRDefault="0038613F">
      <w:pPr>
        <w:suppressLineNumbers/>
        <w:suppressAutoHyphens/>
        <w:kinsoku w:val="0"/>
        <w:overflowPunct w:val="0"/>
        <w:autoSpaceDE w:val="0"/>
        <w:autoSpaceDN w:val="0"/>
        <w:adjustRightInd w:val="0"/>
        <w:snapToGrid w:val="0"/>
        <w:spacing w:before="120" w:after="120"/>
        <w:ind w:firstLine="720"/>
        <w:rPr>
          <w:rFonts w:eastAsia="Malgun Gothic"/>
          <w:i/>
          <w:kern w:val="22"/>
          <w:szCs w:val="22"/>
          <w:lang w:eastAsia="x-none"/>
        </w:rPr>
      </w:pPr>
      <w:r w:rsidRPr="00AF5130" w:rsidDel="005A70F4">
        <w:rPr>
          <w:rFonts w:eastAsia="Malgun Gothic"/>
          <w:i/>
          <w:kern w:val="22"/>
          <w:szCs w:val="22"/>
          <w:lang w:eastAsia="x-none"/>
        </w:rPr>
        <w:t>The Conference of the Parties serving as the meeting of the Parties to the Nagoya Protocol</w:t>
      </w:r>
      <w:r w:rsidR="00EA53AC">
        <w:rPr>
          <w:rFonts w:eastAsia="Malgun Gothic"/>
          <w:i/>
          <w:kern w:val="22"/>
          <w:szCs w:val="22"/>
          <w:lang w:eastAsia="x-none"/>
        </w:rPr>
        <w:t xml:space="preserve"> </w:t>
      </w:r>
      <w:r w:rsidR="00EA53AC">
        <w:rPr>
          <w:rFonts w:eastAsia="Arial Unicode MS"/>
          <w:i/>
          <w:snapToGrid w:val="0"/>
          <w:kern w:val="22"/>
          <w:u w:color="000000"/>
          <w:bdr w:val="nil"/>
        </w:rPr>
        <w:t>on Access and Benefit-sharing</w:t>
      </w:r>
      <w:bookmarkStart w:id="1" w:name="_GoBack"/>
      <w:bookmarkEnd w:id="1"/>
    </w:p>
    <w:p w14:paraId="3D8391BB" w14:textId="77777777" w:rsidR="0038613F" w:rsidRPr="00C649EC"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1.</w:t>
      </w:r>
      <w:r w:rsidRPr="00AF5130">
        <w:rPr>
          <w:rFonts w:eastAsia="Calibri"/>
          <w:kern w:val="22"/>
          <w:szCs w:val="22"/>
          <w:lang w:eastAsia="x-none"/>
        </w:rPr>
        <w:tab/>
      </w:r>
      <w:r w:rsidRPr="00AF5130">
        <w:rPr>
          <w:rFonts w:eastAsia="Calibri"/>
          <w:i/>
          <w:kern w:val="22"/>
          <w:szCs w:val="22"/>
          <w:lang w:eastAsia="x-none"/>
        </w:rPr>
        <w:t>Takes note</w:t>
      </w:r>
      <w:r w:rsidRPr="007708FA">
        <w:rPr>
          <w:rFonts w:eastAsia="Calibri"/>
          <w:kern w:val="22"/>
          <w:szCs w:val="22"/>
          <w:lang w:eastAsia="x-none"/>
        </w:rPr>
        <w:t xml:space="preserve"> of the key findings of the first assessment and review of the Protocol contained in annex I, which includes the input provided by the Comp</w:t>
      </w:r>
      <w:r w:rsidRPr="00C649EC">
        <w:rPr>
          <w:rFonts w:eastAsia="Calibri"/>
          <w:kern w:val="22"/>
          <w:szCs w:val="22"/>
          <w:lang w:eastAsia="x-none"/>
        </w:rPr>
        <w:t>liance Committee;</w:t>
      </w:r>
    </w:p>
    <w:p w14:paraId="7B7A8367"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2.</w:t>
      </w:r>
      <w:r w:rsidRPr="00AF5130">
        <w:rPr>
          <w:rFonts w:eastAsia="Calibri"/>
          <w:kern w:val="22"/>
          <w:szCs w:val="22"/>
          <w:lang w:eastAsia="x-none"/>
        </w:rPr>
        <w:tab/>
      </w:r>
      <w:r w:rsidRPr="00AF5130">
        <w:rPr>
          <w:rFonts w:eastAsia="Calibri"/>
          <w:i/>
          <w:kern w:val="22"/>
          <w:szCs w:val="22"/>
          <w:lang w:eastAsia="x-none"/>
        </w:rPr>
        <w:t xml:space="preserve">Welcomes </w:t>
      </w:r>
      <w:r w:rsidRPr="00AF5130">
        <w:rPr>
          <w:rFonts w:eastAsia="Calibri"/>
          <w:kern w:val="22"/>
          <w:szCs w:val="22"/>
          <w:lang w:eastAsia="x-none"/>
        </w:rPr>
        <w:t xml:space="preserve">the framework of indicators in annex II, and </w:t>
      </w:r>
      <w:r w:rsidRPr="00AF5130">
        <w:rPr>
          <w:rFonts w:eastAsia="Calibri"/>
          <w:i/>
          <w:kern w:val="22"/>
          <w:szCs w:val="22"/>
          <w:lang w:eastAsia="x-none"/>
        </w:rPr>
        <w:t>agrees</w:t>
      </w:r>
      <w:r w:rsidRPr="00AF5130">
        <w:rPr>
          <w:rFonts w:eastAsia="Calibri"/>
          <w:kern w:val="22"/>
          <w:szCs w:val="22"/>
          <w:lang w:eastAsia="x-none"/>
        </w:rPr>
        <w:t xml:space="preserve"> to use the reference points contained therein as a baseline against which progress can be measured in the future;</w:t>
      </w:r>
    </w:p>
    <w:p w14:paraId="261009C5" w14:textId="2575D33B"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3.</w:t>
      </w:r>
      <w:r w:rsidRPr="00AF5130">
        <w:rPr>
          <w:rFonts w:eastAsia="Calibri"/>
          <w:kern w:val="22"/>
          <w:szCs w:val="22"/>
          <w:lang w:eastAsia="x-none"/>
        </w:rPr>
        <w:tab/>
      </w:r>
      <w:r w:rsidRPr="00AF5130">
        <w:rPr>
          <w:rFonts w:eastAsia="Calibri"/>
          <w:i/>
          <w:kern w:val="22"/>
          <w:szCs w:val="22"/>
          <w:lang w:eastAsia="x-none"/>
        </w:rPr>
        <w:t>Decides</w:t>
      </w:r>
      <w:r w:rsidRPr="00AF5130">
        <w:rPr>
          <w:rFonts w:eastAsia="Calibri"/>
          <w:kern w:val="22"/>
          <w:szCs w:val="22"/>
          <w:lang w:eastAsia="x-none"/>
        </w:rPr>
        <w:t xml:space="preserve"> to revisit and </w:t>
      </w:r>
      <w:r w:rsidR="005D0AEF" w:rsidRPr="00AF5130">
        <w:rPr>
          <w:rFonts w:eastAsia="Calibri"/>
          <w:kern w:val="22"/>
          <w:szCs w:val="22"/>
          <w:lang w:eastAsia="x-none"/>
        </w:rPr>
        <w:t xml:space="preserve">adapt </w:t>
      </w:r>
      <w:r w:rsidRPr="00AF5130">
        <w:rPr>
          <w:rFonts w:eastAsia="Calibri"/>
          <w:kern w:val="22"/>
          <w:szCs w:val="22"/>
          <w:lang w:eastAsia="x-none"/>
        </w:rPr>
        <w:t>the</w:t>
      </w:r>
      <w:r w:rsidR="00D26192" w:rsidRPr="00AF5130">
        <w:rPr>
          <w:rFonts w:eastAsia="Calibri"/>
          <w:kern w:val="22"/>
          <w:szCs w:val="22"/>
          <w:lang w:eastAsia="x-none"/>
        </w:rPr>
        <w:t xml:space="preserve"> </w:t>
      </w:r>
      <w:r w:rsidRPr="00AF5130">
        <w:rPr>
          <w:rFonts w:eastAsia="Calibri"/>
          <w:kern w:val="22"/>
          <w:szCs w:val="22"/>
          <w:lang w:eastAsia="x-none"/>
        </w:rPr>
        <w:t>framework, as may be deemed appropriate in the light of further progress made with implementation;</w:t>
      </w:r>
    </w:p>
    <w:p w14:paraId="50538E13"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Malgun Gothic"/>
          <w:kern w:val="22"/>
          <w:szCs w:val="22"/>
          <w:lang w:eastAsia="x-none"/>
        </w:rPr>
      </w:pPr>
      <w:r w:rsidRPr="00AF5130">
        <w:rPr>
          <w:rFonts w:eastAsia="Calibri"/>
          <w:kern w:val="22"/>
          <w:szCs w:val="22"/>
          <w:lang w:eastAsia="x-none"/>
        </w:rPr>
        <w:t>4.</w:t>
      </w:r>
      <w:r w:rsidRPr="00AF5130">
        <w:rPr>
          <w:rFonts w:eastAsia="Calibri"/>
          <w:kern w:val="22"/>
          <w:szCs w:val="22"/>
          <w:lang w:eastAsia="x-none"/>
        </w:rPr>
        <w:tab/>
      </w:r>
      <w:r w:rsidRPr="00AF5130">
        <w:rPr>
          <w:rFonts w:eastAsia="Calibri"/>
          <w:i/>
          <w:kern w:val="22"/>
          <w:szCs w:val="22"/>
          <w:lang w:eastAsia="x-none"/>
        </w:rPr>
        <w:t>Welcomes</w:t>
      </w:r>
      <w:r w:rsidRPr="00AF5130">
        <w:rPr>
          <w:rFonts w:eastAsia="Calibri"/>
          <w:kern w:val="22"/>
          <w:szCs w:val="22"/>
          <w:lang w:eastAsia="x-none"/>
        </w:rPr>
        <w:t xml:space="preserve"> the progress made by Parties in making the Protocol operational;</w:t>
      </w:r>
    </w:p>
    <w:p w14:paraId="307E61FE" w14:textId="5DEC0B5E"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5.</w:t>
      </w:r>
      <w:r w:rsidRPr="00AF5130">
        <w:rPr>
          <w:rFonts w:eastAsia="Calibri"/>
          <w:kern w:val="22"/>
          <w:szCs w:val="22"/>
          <w:lang w:eastAsia="x-none"/>
        </w:rPr>
        <w:tab/>
      </w:r>
      <w:r w:rsidR="00EA1A55" w:rsidRPr="00AF5130">
        <w:rPr>
          <w:rFonts w:eastAsia="Calibri"/>
          <w:i/>
          <w:kern w:val="22"/>
          <w:szCs w:val="22"/>
          <w:lang w:eastAsia="x-none"/>
        </w:rPr>
        <w:t>Recogni</w:t>
      </w:r>
      <w:r w:rsidR="00B928CA" w:rsidRPr="00AF5130">
        <w:rPr>
          <w:rFonts w:eastAsia="Calibri"/>
          <w:i/>
          <w:kern w:val="22"/>
          <w:szCs w:val="22"/>
          <w:lang w:eastAsia="x-none"/>
        </w:rPr>
        <w:t>z</w:t>
      </w:r>
      <w:r w:rsidR="00EA1A55" w:rsidRPr="00AF5130">
        <w:rPr>
          <w:rFonts w:eastAsia="Calibri"/>
          <w:i/>
          <w:kern w:val="22"/>
          <w:szCs w:val="22"/>
          <w:lang w:eastAsia="x-none"/>
        </w:rPr>
        <w:t>es</w:t>
      </w:r>
      <w:r w:rsidR="00EA1A55" w:rsidRPr="00AF5130">
        <w:rPr>
          <w:rFonts w:eastAsia="Calibri"/>
          <w:kern w:val="22"/>
          <w:szCs w:val="22"/>
          <w:lang w:eastAsia="x-none"/>
        </w:rPr>
        <w:t xml:space="preserve"> </w:t>
      </w:r>
      <w:r w:rsidRPr="00AF5130">
        <w:rPr>
          <w:rFonts w:eastAsia="Calibri"/>
          <w:kern w:val="22"/>
          <w:szCs w:val="22"/>
          <w:lang w:eastAsia="x-none"/>
        </w:rPr>
        <w:t>that further work is needed, as a priority:</w:t>
      </w:r>
    </w:p>
    <w:p w14:paraId="7B82271C" w14:textId="3F8C18B5"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(a)</w:t>
      </w:r>
      <w:r w:rsidRPr="00AF5130">
        <w:rPr>
          <w:rFonts w:eastAsia="Calibri"/>
          <w:kern w:val="22"/>
          <w:szCs w:val="22"/>
          <w:lang w:eastAsia="x-none"/>
        </w:rPr>
        <w:tab/>
        <w:t>To develop access and benefit-sharing legislation or regulatory requirements, which provide for legal certainty, clarity and transparency, taking into account special considerations in accordance with Article 8 of the Protocol</w:t>
      </w:r>
      <w:r w:rsidR="009E0C24" w:rsidRPr="00AF5130">
        <w:rPr>
          <w:rFonts w:eastAsia="Calibri"/>
          <w:kern w:val="22"/>
          <w:szCs w:val="22"/>
          <w:lang w:eastAsia="x-none"/>
        </w:rPr>
        <w:t xml:space="preserve"> and the need to ensure that the Nagoya Protocol and other relevant international instruments are implemented i</w:t>
      </w:r>
      <w:r w:rsidR="00480CC8" w:rsidRPr="00AF5130">
        <w:rPr>
          <w:rFonts w:eastAsia="Calibri"/>
          <w:kern w:val="22"/>
          <w:szCs w:val="22"/>
          <w:lang w:eastAsia="x-none"/>
        </w:rPr>
        <w:t>n a mutually supportive manner</w:t>
      </w:r>
      <w:r w:rsidRPr="00AF5130">
        <w:rPr>
          <w:rFonts w:eastAsia="Calibri"/>
          <w:kern w:val="22"/>
          <w:szCs w:val="22"/>
          <w:lang w:eastAsia="x-none"/>
        </w:rPr>
        <w:t>;</w:t>
      </w:r>
    </w:p>
    <w:p w14:paraId="4B235535"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(b)</w:t>
      </w:r>
      <w:r w:rsidRPr="00AF5130">
        <w:rPr>
          <w:rFonts w:eastAsia="Calibri"/>
          <w:kern w:val="22"/>
          <w:szCs w:val="22"/>
          <w:lang w:eastAsia="x-none"/>
        </w:rPr>
        <w:tab/>
        <w:t>To enhance implementation by Parties of the provisions on compliance with domestic legislation and regulatory requirements on access and benefit-sharing (Articles 15 and 16), monitoring the utilization of genetic resources (Article 17), including the designation of checkpoints, as well as the provisions related to indigenous peoples and local communities (Article 5, 6, 7 and 12);</w:t>
      </w:r>
    </w:p>
    <w:p w14:paraId="2588ABCC"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(c)</w:t>
      </w:r>
      <w:r w:rsidRPr="00AF5130">
        <w:rPr>
          <w:rFonts w:eastAsia="Calibri"/>
          <w:kern w:val="22"/>
          <w:szCs w:val="22"/>
          <w:lang w:eastAsia="x-none"/>
        </w:rPr>
        <w:tab/>
        <w:t>To support the full and effective participation of indigenous peoples and local communities in the implementation of the Protocol, including by raising their awareness and capacity about access and benefit</w:t>
      </w:r>
      <w:r w:rsidRPr="00AF5130">
        <w:rPr>
          <w:rFonts w:eastAsia="Calibri"/>
          <w:kern w:val="22"/>
          <w:szCs w:val="22"/>
          <w:lang w:eastAsia="x-none"/>
        </w:rPr>
        <w:noBreakHyphen/>
        <w:t xml:space="preserve">sharing, and supporting the development by indigenous peoples and local communities of community protocols and procedures, </w:t>
      </w:r>
      <w:r w:rsidRPr="00AF5130">
        <w:rPr>
          <w:rFonts w:eastAsia="Calibri"/>
          <w:kern w:val="22"/>
          <w:szCs w:val="22"/>
          <w:u w:color="000000"/>
          <w:lang w:eastAsia="x-none"/>
        </w:rPr>
        <w:t>minimum requirements for mutually agreed terms and model contractual clauses for benefit-sharing arising from the utilization of traditional knowledge associated with genetic resources</w:t>
      </w:r>
      <w:r w:rsidRPr="00AF5130">
        <w:rPr>
          <w:rFonts w:eastAsia="Calibri"/>
          <w:kern w:val="22"/>
          <w:szCs w:val="22"/>
          <w:lang w:eastAsia="x-none"/>
        </w:rPr>
        <w:t>, taking into consideration their</w:t>
      </w:r>
      <w:r w:rsidRPr="00AF5130">
        <w:rPr>
          <w:rFonts w:eastAsia="Malgun Gothic"/>
          <w:kern w:val="22"/>
          <w:szCs w:val="22"/>
          <w:lang w:eastAsia="x-none"/>
        </w:rPr>
        <w:t xml:space="preserve"> customary laws</w:t>
      </w:r>
      <w:r w:rsidRPr="00AF5130">
        <w:rPr>
          <w:rFonts w:eastAsia="Calibri"/>
          <w:kern w:val="22"/>
          <w:szCs w:val="22"/>
          <w:lang w:eastAsia="x-none"/>
        </w:rPr>
        <w:t>;</w:t>
      </w:r>
    </w:p>
    <w:p w14:paraId="073366E9"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lastRenderedPageBreak/>
        <w:t>(d)</w:t>
      </w:r>
      <w:r w:rsidRPr="00AF5130">
        <w:rPr>
          <w:rFonts w:eastAsia="Calibri"/>
          <w:kern w:val="22"/>
          <w:szCs w:val="22"/>
          <w:lang w:eastAsia="x-none"/>
        </w:rPr>
        <w:tab/>
        <w:t>Raise awareness among relevant stakeholders and encourage their participation in the implementation of the Protocol;</w:t>
      </w:r>
    </w:p>
    <w:p w14:paraId="59FFBC27"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6.</w:t>
      </w:r>
      <w:r w:rsidRPr="00AF5130">
        <w:rPr>
          <w:rFonts w:eastAsia="Calibri"/>
          <w:kern w:val="22"/>
          <w:szCs w:val="22"/>
          <w:lang w:eastAsia="x-none"/>
        </w:rPr>
        <w:tab/>
      </w:r>
      <w:r w:rsidRPr="00AF5130">
        <w:rPr>
          <w:rFonts w:eastAsia="Calibri"/>
          <w:i/>
          <w:kern w:val="22"/>
          <w:szCs w:val="22"/>
          <w:lang w:eastAsia="x-none"/>
        </w:rPr>
        <w:t>Urges</w:t>
      </w:r>
      <w:r w:rsidRPr="00AF5130">
        <w:rPr>
          <w:rFonts w:eastAsia="Calibri"/>
          <w:kern w:val="22"/>
          <w:szCs w:val="22"/>
          <w:lang w:eastAsia="x-none"/>
        </w:rPr>
        <w:t xml:space="preserve"> Parties that have not yet done so:</w:t>
      </w:r>
    </w:p>
    <w:p w14:paraId="42E21742"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(a)</w:t>
      </w:r>
      <w:r w:rsidRPr="00AF5130">
        <w:rPr>
          <w:rFonts w:eastAsia="Calibri"/>
          <w:kern w:val="22"/>
          <w:szCs w:val="22"/>
          <w:lang w:eastAsia="x-none"/>
        </w:rPr>
        <w:tab/>
        <w:t>To establish institutional structures and legislative, administrative or policy measures on access and benefit-sharing, taking into account paragraphs 5 (a) and (b) above;</w:t>
      </w:r>
    </w:p>
    <w:p w14:paraId="76A318D0"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(b)</w:t>
      </w:r>
      <w:r w:rsidRPr="00AF5130">
        <w:rPr>
          <w:rFonts w:eastAsia="Calibri"/>
          <w:kern w:val="22"/>
          <w:szCs w:val="22"/>
          <w:lang w:eastAsia="x-none"/>
        </w:rPr>
        <w:tab/>
        <w:t>To take steps to address the priority areas identified in paragraphs 5 (c) and (d) above;</w:t>
      </w:r>
    </w:p>
    <w:p w14:paraId="69FBDB98" w14:textId="23ED3911" w:rsidR="0038613F" w:rsidRPr="00B1358D" w:rsidRDefault="0038613F">
      <w:pPr>
        <w:suppressLineNumbers/>
        <w:suppressAutoHyphens/>
        <w:kinsoku w:val="0"/>
        <w:overflowPunct w:val="0"/>
        <w:autoSpaceDE w:val="0"/>
        <w:autoSpaceDN w:val="0"/>
        <w:adjustRightInd w:val="0"/>
        <w:snapToGrid w:val="0"/>
        <w:spacing w:before="120" w:after="120"/>
        <w:ind w:firstLine="720"/>
        <w:rPr>
          <w:rFonts w:eastAsia="Malgun Gothic"/>
          <w:kern w:val="22"/>
          <w:szCs w:val="22"/>
          <w:u w:val="single" w:color="000000"/>
          <w:lang w:eastAsia="x-none"/>
        </w:rPr>
      </w:pPr>
      <w:r w:rsidRPr="00AF5130">
        <w:rPr>
          <w:rFonts w:eastAsia="Calibri"/>
          <w:kern w:val="22"/>
          <w:szCs w:val="22"/>
          <w:lang w:eastAsia="x-none"/>
        </w:rPr>
        <w:t>(c)</w:t>
      </w:r>
      <w:r w:rsidRPr="00AF5130">
        <w:rPr>
          <w:rFonts w:eastAsia="Calibri"/>
          <w:kern w:val="22"/>
          <w:szCs w:val="22"/>
          <w:lang w:eastAsia="x-none"/>
        </w:rPr>
        <w:tab/>
        <w:t xml:space="preserve">To publish in the Access and Benefit-Sharing Clearing-House all mandatory information available at the national level in accordance with the obligations enshrined in Article 14, paragraph 2, of the Protocol, </w:t>
      </w:r>
      <w:r w:rsidRPr="00AF5130">
        <w:rPr>
          <w:rFonts w:eastAsia="Malgun Gothic"/>
          <w:kern w:val="22"/>
          <w:szCs w:val="22"/>
          <w:lang w:eastAsia="x-none"/>
        </w:rPr>
        <w:t>including</w:t>
      </w:r>
      <w:r w:rsidRPr="00AF5130">
        <w:rPr>
          <w:rFonts w:eastAsia="Calibri"/>
          <w:kern w:val="22"/>
          <w:szCs w:val="22"/>
          <w:lang w:eastAsia="x-none"/>
        </w:rPr>
        <w:t xml:space="preserve"> information on the permits or their equivalents to constitute internationally recognized certificates of compliance, as soon as possible, with a view to facilitating </w:t>
      </w:r>
      <w:r w:rsidR="007E4F34">
        <w:rPr>
          <w:rFonts w:eastAsia="Calibri"/>
          <w:kern w:val="22"/>
          <w:szCs w:val="22"/>
          <w:lang w:eastAsia="x-none"/>
        </w:rPr>
        <w:t xml:space="preserve">the </w:t>
      </w:r>
      <w:r w:rsidRPr="007E4F34">
        <w:rPr>
          <w:rFonts w:eastAsia="Calibri"/>
          <w:kern w:val="22"/>
          <w:szCs w:val="22"/>
          <w:lang w:eastAsia="x-none"/>
        </w:rPr>
        <w:t xml:space="preserve">monitoring </w:t>
      </w:r>
      <w:r w:rsidR="007E4F34">
        <w:rPr>
          <w:rFonts w:eastAsia="Calibri"/>
          <w:kern w:val="22"/>
          <w:szCs w:val="22"/>
          <w:lang w:eastAsia="x-none"/>
        </w:rPr>
        <w:t xml:space="preserve">of </w:t>
      </w:r>
      <w:r w:rsidRPr="007E4F34">
        <w:rPr>
          <w:rFonts w:eastAsia="Calibri"/>
          <w:kern w:val="22"/>
          <w:szCs w:val="22"/>
          <w:lang w:eastAsia="x-none"/>
        </w:rPr>
        <w:t>the utilization of genetic resources and cooperation among Parties;</w:t>
      </w:r>
    </w:p>
    <w:p w14:paraId="7E24561E"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7.</w:t>
      </w:r>
      <w:r w:rsidRPr="00AF5130">
        <w:rPr>
          <w:rFonts w:eastAsia="Calibri"/>
          <w:kern w:val="22"/>
          <w:szCs w:val="22"/>
          <w:lang w:eastAsia="x-none"/>
        </w:rPr>
        <w:tab/>
      </w:r>
      <w:r w:rsidRPr="00AF5130">
        <w:rPr>
          <w:rFonts w:eastAsia="Calibri"/>
          <w:i/>
          <w:kern w:val="22"/>
          <w:szCs w:val="22"/>
          <w:lang w:eastAsia="x-none"/>
        </w:rPr>
        <w:t>Encourages</w:t>
      </w:r>
      <w:r w:rsidRPr="00AF5130">
        <w:rPr>
          <w:rFonts w:eastAsia="Calibri"/>
          <w:kern w:val="22"/>
          <w:szCs w:val="22"/>
          <w:lang w:eastAsia="x-none"/>
        </w:rPr>
        <w:t xml:space="preserve"> Parties, non-Parties and relevant organizations in a position to do so:</w:t>
      </w:r>
    </w:p>
    <w:p w14:paraId="5308BF6C" w14:textId="21F0ED63"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(a)</w:t>
      </w:r>
      <w:r w:rsidRPr="00AF5130">
        <w:rPr>
          <w:rFonts w:eastAsia="Calibri"/>
          <w:kern w:val="22"/>
          <w:szCs w:val="22"/>
          <w:lang w:eastAsia="x-none"/>
        </w:rPr>
        <w:tab/>
        <w:t xml:space="preserve">To expand their efforts to build the capacity of developing country Parties, in particular the least developed countries and small island developing States among them, and Parties with economies in transition to implement the Nagoya Protocol, </w:t>
      </w:r>
      <w:r w:rsidR="00AF7300" w:rsidRPr="00AF5130">
        <w:rPr>
          <w:rFonts w:eastAsia="Calibri"/>
          <w:kern w:val="22"/>
          <w:szCs w:val="22"/>
          <w:lang w:eastAsia="x-none"/>
        </w:rPr>
        <w:t xml:space="preserve">taking into account </w:t>
      </w:r>
      <w:r w:rsidRPr="00AF5130">
        <w:rPr>
          <w:rFonts w:eastAsia="Calibri"/>
          <w:kern w:val="22"/>
          <w:szCs w:val="22"/>
          <w:lang w:eastAsia="x-none"/>
        </w:rPr>
        <w:t>the priority areas identified in paragraph 5 above</w:t>
      </w:r>
      <w:r w:rsidR="00AF7300" w:rsidRPr="00AF5130">
        <w:rPr>
          <w:rFonts w:eastAsia="Calibri"/>
          <w:kern w:val="22"/>
          <w:szCs w:val="22"/>
          <w:lang w:eastAsia="x-none"/>
        </w:rPr>
        <w:t>,</w:t>
      </w:r>
      <w:r w:rsidRPr="00AF5130">
        <w:rPr>
          <w:rFonts w:eastAsia="Calibri"/>
          <w:kern w:val="22"/>
          <w:szCs w:val="22"/>
          <w:lang w:eastAsia="x-none"/>
        </w:rPr>
        <w:t xml:space="preserve"> </w:t>
      </w:r>
      <w:r w:rsidR="00AF7300" w:rsidRPr="00AF5130">
        <w:rPr>
          <w:rFonts w:eastAsia="Calibri"/>
          <w:kern w:val="22"/>
          <w:szCs w:val="22"/>
          <w:lang w:eastAsia="x-none"/>
        </w:rPr>
        <w:t xml:space="preserve">the need to strengthen institutional capacities, </w:t>
      </w:r>
      <w:r w:rsidRPr="00AF5130">
        <w:rPr>
          <w:rFonts w:eastAsia="Calibri"/>
          <w:kern w:val="22"/>
          <w:szCs w:val="22"/>
          <w:lang w:eastAsia="x-none"/>
        </w:rPr>
        <w:t>and the key findings in annex I,</w:t>
      </w:r>
      <w:r w:rsidRPr="00AF5130">
        <w:rPr>
          <w:rFonts w:eastAsia="Malgun Gothic"/>
          <w:kern w:val="22"/>
          <w:szCs w:val="22"/>
          <w:lang w:eastAsia="x-none"/>
        </w:rPr>
        <w:t xml:space="preserve"> </w:t>
      </w:r>
      <w:r w:rsidRPr="00AF5130">
        <w:rPr>
          <w:rFonts w:eastAsia="Calibri"/>
          <w:kern w:val="22"/>
          <w:szCs w:val="22"/>
          <w:lang w:eastAsia="x-none"/>
        </w:rPr>
        <w:t>as well as the needs and priorities of indigenous peoples and local communities and relevant stakeholders;</w:t>
      </w:r>
    </w:p>
    <w:p w14:paraId="11A47C43"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(b)</w:t>
      </w:r>
      <w:r w:rsidRPr="00AF5130">
        <w:rPr>
          <w:rFonts w:eastAsia="Calibri"/>
          <w:kern w:val="22"/>
          <w:szCs w:val="22"/>
          <w:lang w:eastAsia="x-none"/>
        </w:rPr>
        <w:tab/>
        <w:t>To support capacity-building initiatives to implement the Protocol, such as the capacity</w:t>
      </w:r>
      <w:r w:rsidRPr="00AF5130">
        <w:rPr>
          <w:rFonts w:eastAsia="Calibri"/>
          <w:kern w:val="22"/>
          <w:szCs w:val="22"/>
          <w:lang w:eastAsia="x-none"/>
        </w:rPr>
        <w:noBreakHyphen/>
        <w:t>building programme of the Secretariat and the International Development Law Organization for the establishment of national legal frameworks, including by providing financial resources;</w:t>
      </w:r>
    </w:p>
    <w:p w14:paraId="6E3FCAA3"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(c)</w:t>
      </w:r>
      <w:r w:rsidRPr="00AF5130">
        <w:rPr>
          <w:rFonts w:eastAsia="Calibri"/>
          <w:kern w:val="22"/>
          <w:szCs w:val="22"/>
          <w:lang w:eastAsia="x-none"/>
        </w:rPr>
        <w:tab/>
        <w:t>To make available information on capacity-building initiatives and capacity-building resources on the Access and Benefit-Sharing</w:t>
      </w:r>
      <w:r w:rsidRPr="00AF5130" w:rsidDel="00D23830">
        <w:rPr>
          <w:rFonts w:eastAsia="Calibri"/>
          <w:kern w:val="22"/>
          <w:szCs w:val="22"/>
          <w:lang w:eastAsia="x-none"/>
        </w:rPr>
        <w:t xml:space="preserve"> </w:t>
      </w:r>
      <w:r w:rsidRPr="00AF5130">
        <w:rPr>
          <w:rFonts w:eastAsia="Calibri"/>
          <w:kern w:val="22"/>
          <w:szCs w:val="22"/>
          <w:lang w:eastAsia="x-none"/>
        </w:rPr>
        <w:t>Clearing-House;</w:t>
      </w:r>
    </w:p>
    <w:p w14:paraId="204DC72D"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(d)</w:t>
      </w:r>
      <w:r w:rsidRPr="00AF5130">
        <w:rPr>
          <w:rFonts w:eastAsia="Calibri"/>
          <w:kern w:val="22"/>
          <w:szCs w:val="22"/>
          <w:lang w:eastAsia="x-none"/>
        </w:rPr>
        <w:tab/>
        <w:t>To consider regional approaches to support harmonized implementation of the Protocol through, among other things, capacity-building activities among countries that share the same genetic resources or traditional knowledge associated with genetic resources;</w:t>
      </w:r>
    </w:p>
    <w:p w14:paraId="62DEDBD8"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(e)</w:t>
      </w:r>
      <w:r w:rsidRPr="00AF5130">
        <w:rPr>
          <w:rFonts w:eastAsia="Calibri"/>
          <w:kern w:val="22"/>
          <w:szCs w:val="22"/>
          <w:lang w:eastAsia="x-none"/>
        </w:rPr>
        <w:tab/>
        <w:t>To facilitate the sharing of information and experiences in relation to transboundary cooperation in accordance with Article 11 of the Protocol;</w:t>
      </w:r>
    </w:p>
    <w:p w14:paraId="1AA4C6C9"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(f)</w:t>
      </w:r>
      <w:r w:rsidRPr="00AF5130">
        <w:rPr>
          <w:rFonts w:eastAsia="Calibri"/>
          <w:kern w:val="22"/>
          <w:szCs w:val="22"/>
          <w:lang w:eastAsia="x-none"/>
        </w:rPr>
        <w:tab/>
        <w:t>To support strategic communication to enhance awareness about the Protocol;</w:t>
      </w:r>
    </w:p>
    <w:p w14:paraId="3E6AD447"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(g)</w:t>
      </w:r>
      <w:r w:rsidRPr="00AF5130">
        <w:rPr>
          <w:rFonts w:eastAsia="Calibri"/>
          <w:kern w:val="22"/>
          <w:szCs w:val="22"/>
          <w:lang w:eastAsia="x-none"/>
        </w:rPr>
        <w:tab/>
        <w:t>To build the capacity of Parties and indigenous peoples and local communities for the negotiation of mutually agreed terms and to promote partnerships and technology transfer between users and providers of genetic resources and/or associated traditional knowledge;</w:t>
      </w:r>
    </w:p>
    <w:p w14:paraId="235E77AB"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8.</w:t>
      </w:r>
      <w:r w:rsidRPr="00AF5130">
        <w:rPr>
          <w:rFonts w:eastAsia="Calibri"/>
          <w:kern w:val="22"/>
          <w:szCs w:val="22"/>
          <w:lang w:eastAsia="x-none"/>
        </w:rPr>
        <w:tab/>
      </w:r>
      <w:r w:rsidRPr="00AF5130">
        <w:rPr>
          <w:rFonts w:eastAsia="Calibri"/>
          <w:i/>
          <w:kern w:val="22"/>
          <w:szCs w:val="22"/>
          <w:lang w:eastAsia="x-none"/>
        </w:rPr>
        <w:t>Invites</w:t>
      </w:r>
      <w:r w:rsidRPr="00AF5130">
        <w:rPr>
          <w:rFonts w:eastAsia="Calibri"/>
          <w:kern w:val="22"/>
          <w:szCs w:val="22"/>
          <w:lang w:eastAsia="x-none"/>
        </w:rPr>
        <w:t xml:space="preserve"> Parties, non-Parties, international organizations, regional development banks, other financial institutions and the private sector, as appropriate, to expand their efforts to provide financial resources to support the implementation of the Protocol;</w:t>
      </w:r>
    </w:p>
    <w:p w14:paraId="7A21A6B8" w14:textId="32CFA0B8" w:rsidR="0038613F" w:rsidRPr="007B292E"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9.</w:t>
      </w:r>
      <w:r w:rsidRPr="00AF5130">
        <w:rPr>
          <w:rFonts w:eastAsia="Calibri"/>
          <w:kern w:val="22"/>
          <w:szCs w:val="22"/>
          <w:lang w:eastAsia="x-none"/>
        </w:rPr>
        <w:tab/>
      </w:r>
      <w:r w:rsidRPr="00AF5130">
        <w:rPr>
          <w:rFonts w:eastAsia="Calibri"/>
          <w:i/>
          <w:kern w:val="22"/>
          <w:szCs w:val="22"/>
          <w:lang w:eastAsia="x-none"/>
        </w:rPr>
        <w:t xml:space="preserve">Recommends </w:t>
      </w:r>
      <w:r w:rsidRPr="00AF5130">
        <w:rPr>
          <w:rFonts w:eastAsia="Calibri"/>
          <w:kern w:val="22"/>
          <w:szCs w:val="22"/>
          <w:lang w:eastAsia="x-none"/>
        </w:rPr>
        <w:t xml:space="preserve">that the Conference of the Parties, in adopting its guidance to the financial mechanism with respect to support for the implementation of the Nagoya Protocol, invite the Global Environment Facility to continue to assist eligible Parties </w:t>
      </w:r>
      <w:r w:rsidR="007B292E">
        <w:rPr>
          <w:rFonts w:eastAsia="Calibri"/>
          <w:kern w:val="22"/>
          <w:szCs w:val="22"/>
          <w:lang w:eastAsia="x-none"/>
        </w:rPr>
        <w:t>in</w:t>
      </w:r>
      <w:r w:rsidR="007B292E" w:rsidRPr="007B292E">
        <w:rPr>
          <w:rFonts w:eastAsia="Calibri"/>
          <w:kern w:val="22"/>
          <w:szCs w:val="22"/>
          <w:lang w:eastAsia="x-none"/>
        </w:rPr>
        <w:t xml:space="preserve"> </w:t>
      </w:r>
      <w:r w:rsidRPr="007B292E">
        <w:rPr>
          <w:rFonts w:eastAsia="Calibri"/>
          <w:kern w:val="22"/>
          <w:szCs w:val="22"/>
          <w:lang w:eastAsia="x-none"/>
        </w:rPr>
        <w:t>implement</w:t>
      </w:r>
      <w:r w:rsidR="007B292E">
        <w:rPr>
          <w:rFonts w:eastAsia="Calibri"/>
          <w:kern w:val="22"/>
          <w:szCs w:val="22"/>
          <w:lang w:eastAsia="x-none"/>
        </w:rPr>
        <w:t>ing</w:t>
      </w:r>
      <w:r w:rsidRPr="007B292E">
        <w:rPr>
          <w:rFonts w:eastAsia="Calibri"/>
          <w:kern w:val="22"/>
          <w:szCs w:val="22"/>
          <w:lang w:eastAsia="x-none"/>
        </w:rPr>
        <w:t xml:space="preserve"> the Nagoya Protocol, including the establishment of legislative, administrative and policy measures on access and benefit-sharing and related institutional arrangements, and to make funds available to this end;</w:t>
      </w:r>
    </w:p>
    <w:p w14:paraId="7805EB9C" w14:textId="77777777" w:rsidR="0038613F" w:rsidRPr="00E965A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10.</w:t>
      </w:r>
      <w:r w:rsidRPr="00AF5130">
        <w:rPr>
          <w:rFonts w:eastAsia="Calibri"/>
          <w:kern w:val="22"/>
          <w:szCs w:val="22"/>
          <w:lang w:eastAsia="x-none"/>
        </w:rPr>
        <w:tab/>
      </w:r>
      <w:r w:rsidRPr="00AF5130">
        <w:rPr>
          <w:rFonts w:eastAsia="Calibri"/>
          <w:i/>
          <w:kern w:val="22"/>
          <w:szCs w:val="22"/>
          <w:lang w:eastAsia="x-none"/>
        </w:rPr>
        <w:t>Encourages</w:t>
      </w:r>
      <w:r w:rsidRPr="00AF5130">
        <w:rPr>
          <w:rFonts w:eastAsia="Calibri"/>
          <w:kern w:val="22"/>
          <w:szCs w:val="22"/>
          <w:lang w:eastAsia="x-none"/>
        </w:rPr>
        <w:t xml:space="preserve"> Parties, non-Parties, indigenous peoples and local communities and relevant organizations to make use of the wealth of information and experiences available in the interim national reports and the Access and Benefit-sharing Clearing-House, as well as existing tools and resources (such as guidelines and capacity-building materials) to support implementation and to promote the exchange of experiences;</w:t>
      </w:r>
    </w:p>
    <w:p w14:paraId="162CA8CD"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lastRenderedPageBreak/>
        <w:t>11.</w:t>
      </w:r>
      <w:r w:rsidRPr="00AF5130">
        <w:rPr>
          <w:rFonts w:eastAsia="Calibri"/>
          <w:kern w:val="22"/>
          <w:szCs w:val="22"/>
          <w:lang w:eastAsia="x-none"/>
        </w:rPr>
        <w:tab/>
      </w:r>
      <w:r w:rsidRPr="00AF5130">
        <w:rPr>
          <w:rFonts w:eastAsia="Calibri"/>
          <w:i/>
          <w:kern w:val="22"/>
          <w:szCs w:val="22"/>
          <w:lang w:eastAsia="x-none"/>
        </w:rPr>
        <w:t>Invites</w:t>
      </w:r>
      <w:r w:rsidRPr="00AF5130">
        <w:rPr>
          <w:rFonts w:eastAsia="Calibri"/>
          <w:kern w:val="22"/>
          <w:szCs w:val="22"/>
          <w:lang w:eastAsia="x-none"/>
        </w:rPr>
        <w:t xml:space="preserve"> Parties, in view of the cross-cutting nature of the Protocol, to establish appropriate mechanisms to facilitate:</w:t>
      </w:r>
    </w:p>
    <w:p w14:paraId="4A546DF4" w14:textId="3F629D75"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(a)</w:t>
      </w:r>
      <w:r w:rsidRPr="00AF5130">
        <w:rPr>
          <w:rFonts w:eastAsia="Calibri"/>
          <w:kern w:val="22"/>
          <w:szCs w:val="22"/>
          <w:lang w:eastAsia="x-none"/>
        </w:rPr>
        <w:tab/>
        <w:t>National coordination among different institutions</w:t>
      </w:r>
      <w:r w:rsidR="00480CC8" w:rsidRPr="00AF5130">
        <w:rPr>
          <w:rFonts w:eastAsia="Calibri"/>
          <w:kern w:val="22"/>
          <w:szCs w:val="22"/>
          <w:lang w:eastAsia="x-none"/>
        </w:rPr>
        <w:t>,</w:t>
      </w:r>
      <w:r w:rsidR="00AF7300" w:rsidRPr="00AF5130">
        <w:rPr>
          <w:rFonts w:eastAsia="Calibri"/>
          <w:kern w:val="22"/>
          <w:szCs w:val="22"/>
          <w:lang w:eastAsia="x-none"/>
        </w:rPr>
        <w:t xml:space="preserve"> including</w:t>
      </w:r>
      <w:r w:rsidR="00E6124B" w:rsidRPr="00AF5130">
        <w:rPr>
          <w:rFonts w:eastAsia="Calibri"/>
          <w:kern w:val="22"/>
          <w:szCs w:val="22"/>
          <w:lang w:eastAsia="x-none"/>
        </w:rPr>
        <w:t xml:space="preserve"> </w:t>
      </w:r>
      <w:r w:rsidR="00AF7300" w:rsidRPr="00AF5130">
        <w:rPr>
          <w:rFonts w:eastAsia="Calibri"/>
          <w:kern w:val="22"/>
          <w:szCs w:val="22"/>
          <w:lang w:eastAsia="x-none"/>
        </w:rPr>
        <w:t xml:space="preserve">national </w:t>
      </w:r>
      <w:r w:rsidR="00E6124B" w:rsidRPr="00AF5130">
        <w:rPr>
          <w:rFonts w:eastAsia="Calibri"/>
          <w:kern w:val="22"/>
          <w:szCs w:val="22"/>
          <w:lang w:eastAsia="x-none"/>
        </w:rPr>
        <w:t>focal points</w:t>
      </w:r>
      <w:r w:rsidR="00913A7A" w:rsidRPr="00AF5130">
        <w:rPr>
          <w:rFonts w:eastAsia="Calibri"/>
          <w:kern w:val="22"/>
          <w:szCs w:val="22"/>
          <w:lang w:eastAsia="x-none"/>
        </w:rPr>
        <w:t>, competent national authorities</w:t>
      </w:r>
      <w:r w:rsidR="00E6124B" w:rsidRPr="00AF5130">
        <w:rPr>
          <w:rFonts w:eastAsia="Calibri"/>
          <w:kern w:val="22"/>
          <w:szCs w:val="22"/>
          <w:lang w:eastAsia="x-none"/>
        </w:rPr>
        <w:t xml:space="preserve"> </w:t>
      </w:r>
      <w:r w:rsidRPr="00AF5130">
        <w:rPr>
          <w:rFonts w:eastAsia="Calibri"/>
          <w:kern w:val="22"/>
          <w:szCs w:val="22"/>
          <w:lang w:eastAsia="x-none"/>
        </w:rPr>
        <w:t>and ministries</w:t>
      </w:r>
      <w:r w:rsidR="00E6124B" w:rsidRPr="00AF5130">
        <w:rPr>
          <w:rFonts w:eastAsia="Calibri"/>
          <w:kern w:val="22"/>
          <w:szCs w:val="22"/>
          <w:lang w:eastAsia="x-none"/>
        </w:rPr>
        <w:t xml:space="preserve"> </w:t>
      </w:r>
      <w:r w:rsidRPr="00AF5130">
        <w:rPr>
          <w:rFonts w:eastAsia="Calibri"/>
          <w:kern w:val="22"/>
          <w:szCs w:val="22"/>
          <w:lang w:eastAsia="x-none"/>
        </w:rPr>
        <w:t>of relevance to access and benefit-sharing;</w:t>
      </w:r>
    </w:p>
    <w:p w14:paraId="240B0D4C"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rPr>
      </w:pPr>
      <w:r w:rsidRPr="00AF5130">
        <w:rPr>
          <w:rFonts w:eastAsia="Calibri"/>
          <w:kern w:val="22"/>
          <w:szCs w:val="22"/>
        </w:rPr>
        <w:t>(b)</w:t>
      </w:r>
      <w:r w:rsidRPr="00AF5130">
        <w:rPr>
          <w:rFonts w:eastAsia="Calibri"/>
          <w:kern w:val="22"/>
          <w:szCs w:val="22"/>
        </w:rPr>
        <w:tab/>
        <w:t>The full and effective participation of indigenous peoples and local communities in the implementation of the provisions of the Protocol related to indigenous peoples and local communities with a view to taking into account their needs as well as national circumstances;</w:t>
      </w:r>
    </w:p>
    <w:p w14:paraId="5709E66A" w14:textId="77777777" w:rsidR="0038613F" w:rsidRPr="00E965A0" w:rsidRDefault="0038613F">
      <w:pPr>
        <w:suppressLineNumbers/>
        <w:tabs>
          <w:tab w:val="left" w:pos="1440"/>
        </w:tab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(c)</w:t>
      </w:r>
      <w:r w:rsidRPr="00AF5130">
        <w:rPr>
          <w:rFonts w:eastAsia="Calibri"/>
          <w:kern w:val="22"/>
          <w:szCs w:val="22"/>
          <w:lang w:eastAsia="x-none"/>
        </w:rPr>
        <w:tab/>
        <w:t>The participation of relevant stakeholders from different sectors with a view to taking into account their needs when developing legislative, administrative and policy measures on access and benefit-sharing;</w:t>
      </w:r>
    </w:p>
    <w:p w14:paraId="31D94720" w14:textId="77777777" w:rsidR="0038613F" w:rsidRPr="00A57937" w:rsidRDefault="0038613F">
      <w:pPr>
        <w:suppressLineNumbers/>
        <w:suppressAutoHyphens/>
        <w:kinsoku w:val="0"/>
        <w:overflowPunct w:val="0"/>
        <w:autoSpaceDE w:val="0"/>
        <w:autoSpaceDN w:val="0"/>
        <w:adjustRightInd w:val="0"/>
        <w:snapToGrid w:val="0"/>
        <w:spacing w:before="120" w:after="120"/>
        <w:ind w:firstLine="720"/>
        <w:rPr>
          <w:rFonts w:eastAsia="Calibri"/>
          <w:i/>
          <w:kern w:val="22"/>
          <w:szCs w:val="22"/>
          <w:lang w:eastAsia="x-none"/>
        </w:rPr>
      </w:pPr>
      <w:r w:rsidRPr="00500E20">
        <w:rPr>
          <w:rFonts w:eastAsia="Calibri"/>
          <w:kern w:val="22"/>
          <w:szCs w:val="22"/>
          <w:lang w:eastAsia="x-none"/>
        </w:rPr>
        <w:t>12.</w:t>
      </w:r>
      <w:r w:rsidRPr="00500E20">
        <w:rPr>
          <w:rFonts w:eastAsia="Calibri"/>
          <w:kern w:val="22"/>
          <w:szCs w:val="22"/>
          <w:lang w:eastAsia="x-none"/>
        </w:rPr>
        <w:tab/>
      </w:r>
      <w:r w:rsidRPr="00500E20">
        <w:rPr>
          <w:rFonts w:eastAsia="Calibri"/>
          <w:i/>
          <w:kern w:val="22"/>
          <w:szCs w:val="22"/>
          <w:lang w:eastAsia="x-none"/>
        </w:rPr>
        <w:t xml:space="preserve">Also invites </w:t>
      </w:r>
      <w:r w:rsidRPr="00500E20">
        <w:rPr>
          <w:rFonts w:eastAsia="Calibri"/>
          <w:kern w:val="22"/>
          <w:szCs w:val="22"/>
          <w:lang w:eastAsia="x-none"/>
        </w:rPr>
        <w:t>Parties:</w:t>
      </w:r>
    </w:p>
    <w:p w14:paraId="778A6F90" w14:textId="77777777" w:rsidR="0038613F" w:rsidRPr="00A57937"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57937">
        <w:rPr>
          <w:rFonts w:eastAsia="Calibri"/>
          <w:kern w:val="22"/>
          <w:szCs w:val="22"/>
          <w:lang w:eastAsia="x-none"/>
        </w:rPr>
        <w:t>(a)</w:t>
      </w:r>
      <w:r w:rsidRPr="00A57937">
        <w:rPr>
          <w:rFonts w:eastAsia="Calibri"/>
          <w:kern w:val="22"/>
          <w:szCs w:val="22"/>
          <w:lang w:eastAsia="x-none"/>
        </w:rPr>
        <w:tab/>
        <w:t>To consider implementing interim measures in order to gain experience that can inform the development of legislative, administrative or policy measures on access and benefit-sharing;</w:t>
      </w:r>
    </w:p>
    <w:p w14:paraId="14E6D875"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Malgun Gothic"/>
          <w:kern w:val="22"/>
          <w:szCs w:val="22"/>
          <w:lang w:eastAsia="x-none"/>
        </w:rPr>
      </w:pPr>
      <w:r w:rsidRPr="00B31519">
        <w:rPr>
          <w:rFonts w:eastAsia="Malgun Gothic"/>
          <w:kern w:val="22"/>
          <w:szCs w:val="22"/>
          <w:lang w:eastAsia="x-none"/>
        </w:rPr>
        <w:t>(b)</w:t>
      </w:r>
      <w:r w:rsidRPr="00B31519">
        <w:rPr>
          <w:rFonts w:eastAsia="Malgun Gothic"/>
          <w:kern w:val="22"/>
          <w:szCs w:val="22"/>
          <w:lang w:eastAsia="x-none"/>
        </w:rPr>
        <w:tab/>
        <w:t xml:space="preserve">To take into account, in the implementation of Article 8 of the Protocol, relevant work undertaken </w:t>
      </w:r>
      <w:r w:rsidRPr="00AF5130">
        <w:rPr>
          <w:rFonts w:eastAsia="Calibri"/>
          <w:kern w:val="22"/>
          <w:szCs w:val="22"/>
          <w:lang w:eastAsia="x-none"/>
        </w:rPr>
        <w:t>by</w:t>
      </w:r>
      <w:r w:rsidRPr="00AF5130">
        <w:rPr>
          <w:rFonts w:eastAsia="Malgun Gothic"/>
          <w:kern w:val="22"/>
          <w:szCs w:val="22"/>
          <w:lang w:eastAsia="x-none"/>
        </w:rPr>
        <w:t xml:space="preserve"> </w:t>
      </w:r>
      <w:r w:rsidRPr="00AF5130">
        <w:rPr>
          <w:rFonts w:eastAsia="Calibri"/>
          <w:kern w:val="22"/>
          <w:szCs w:val="22"/>
          <w:lang w:eastAsia="x-none"/>
        </w:rPr>
        <w:t>the Food and Agriculture Organization of the United Nations, the World Health Organization and other relevant organizations</w:t>
      </w:r>
      <w:r w:rsidRPr="00AF5130">
        <w:rPr>
          <w:rFonts w:eastAsia="Malgun Gothic"/>
          <w:kern w:val="22"/>
          <w:szCs w:val="22"/>
          <w:lang w:eastAsia="x-none"/>
        </w:rPr>
        <w:t>, as appropriate and in accordance with national circumstances;</w:t>
      </w:r>
    </w:p>
    <w:p w14:paraId="770ABEC4" w14:textId="08F22C32" w:rsidR="0038613F" w:rsidRPr="00500E20" w:rsidRDefault="0038613F">
      <w:pPr>
        <w:suppressLineNumbers/>
        <w:suppressAutoHyphens/>
        <w:kinsoku w:val="0"/>
        <w:overflowPunct w:val="0"/>
        <w:autoSpaceDE w:val="0"/>
        <w:autoSpaceDN w:val="0"/>
        <w:adjustRightInd w:val="0"/>
        <w:snapToGrid w:val="0"/>
        <w:spacing w:before="120" w:after="120"/>
        <w:ind w:firstLine="720"/>
        <w:rPr>
          <w:rFonts w:eastAsia="Malgun Gothic"/>
          <w:kern w:val="22"/>
          <w:szCs w:val="22"/>
          <w:lang w:eastAsia="x-none"/>
        </w:rPr>
      </w:pPr>
      <w:r w:rsidRPr="00AF5130">
        <w:rPr>
          <w:rFonts w:eastAsia="Malgun Gothic"/>
          <w:kern w:val="22"/>
          <w:szCs w:val="22"/>
          <w:lang w:eastAsia="x-none"/>
        </w:rPr>
        <w:t>(c)</w:t>
      </w:r>
      <w:r w:rsidRPr="00AF5130">
        <w:rPr>
          <w:rFonts w:eastAsia="Malgun Gothic"/>
          <w:kern w:val="22"/>
          <w:szCs w:val="22"/>
          <w:lang w:eastAsia="x-none"/>
        </w:rPr>
        <w:tab/>
        <w:t xml:space="preserve">To take note, in the implementation of Article 16 of the Protocol, of relevant work undertaken by the </w:t>
      </w:r>
      <w:r w:rsidRPr="00AF5130">
        <w:rPr>
          <w:rFonts w:eastAsia="Calibri"/>
          <w:kern w:val="22"/>
          <w:szCs w:val="22"/>
          <w:lang w:eastAsia="x-none"/>
        </w:rPr>
        <w:t>World Intellectual Property Organization, as appropriate</w:t>
      </w:r>
      <w:r w:rsidR="00913A7A" w:rsidRPr="00AF5130">
        <w:rPr>
          <w:rFonts w:eastAsia="Calibri"/>
          <w:kern w:val="22"/>
          <w:szCs w:val="22"/>
          <w:lang w:eastAsia="x-none"/>
        </w:rPr>
        <w:t xml:space="preserve">, provided that </w:t>
      </w:r>
      <w:r w:rsidR="00761987" w:rsidRPr="00AF5130">
        <w:rPr>
          <w:rFonts w:eastAsia="Calibri"/>
          <w:kern w:val="22"/>
          <w:szCs w:val="22"/>
          <w:lang w:eastAsia="x-none"/>
        </w:rPr>
        <w:t xml:space="preserve">it </w:t>
      </w:r>
      <w:r w:rsidR="00913A7A" w:rsidRPr="00AF5130">
        <w:rPr>
          <w:rFonts w:eastAsia="Calibri"/>
          <w:kern w:val="22"/>
          <w:szCs w:val="22"/>
          <w:lang w:eastAsia="x-none"/>
        </w:rPr>
        <w:t>does not run counter to the objectives of the Convention and the Protocol</w:t>
      </w:r>
      <w:r w:rsidRPr="00AF5130">
        <w:rPr>
          <w:rFonts w:eastAsia="Calibri"/>
          <w:kern w:val="22"/>
          <w:szCs w:val="22"/>
          <w:lang w:eastAsia="x-none"/>
        </w:rPr>
        <w:t>;</w:t>
      </w:r>
    </w:p>
    <w:p w14:paraId="7245633B" w14:textId="36FA14A0" w:rsidR="0038613F" w:rsidRPr="00500E2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57937">
        <w:rPr>
          <w:rFonts w:eastAsia="Calibri"/>
          <w:kern w:val="22"/>
          <w:szCs w:val="22"/>
          <w:lang w:eastAsia="x-none"/>
        </w:rPr>
        <w:t>13.</w:t>
      </w:r>
      <w:r w:rsidRPr="00A57937">
        <w:rPr>
          <w:rFonts w:eastAsia="Calibri"/>
          <w:kern w:val="22"/>
          <w:szCs w:val="22"/>
          <w:lang w:eastAsia="x-none"/>
        </w:rPr>
        <w:tab/>
      </w:r>
      <w:r w:rsidRPr="00A57937">
        <w:rPr>
          <w:rFonts w:eastAsia="Calibri"/>
          <w:i/>
          <w:kern w:val="22"/>
          <w:szCs w:val="22"/>
          <w:lang w:eastAsia="x-none"/>
        </w:rPr>
        <w:t>Invites</w:t>
      </w:r>
      <w:r w:rsidRPr="00E55E7F">
        <w:rPr>
          <w:rFonts w:eastAsia="Calibri"/>
          <w:kern w:val="22"/>
          <w:szCs w:val="22"/>
          <w:lang w:eastAsia="x-none"/>
        </w:rPr>
        <w:t xml:space="preserve"> indigenous peoples and local communities to engage in access and benefit-sharing processes in accordance with their customary practices, including by developing community protocols</w:t>
      </w:r>
      <w:r w:rsidR="001964A3" w:rsidRPr="00CC7D0A">
        <w:rPr>
          <w:rStyle w:val="FootnoteReference"/>
          <w:rFonts w:eastAsia="Calibri"/>
          <w:kern w:val="22"/>
          <w:szCs w:val="22"/>
          <w:lang w:eastAsia="x-none"/>
        </w:rPr>
        <w:footnoteReference w:id="1"/>
      </w:r>
      <w:r w:rsidRPr="00CC7D0A">
        <w:rPr>
          <w:rFonts w:eastAsia="Calibri"/>
          <w:kern w:val="22"/>
          <w:szCs w:val="22"/>
          <w:lang w:eastAsia="x-none"/>
        </w:rPr>
        <w:t xml:space="preserve"> and procedures for access and benefit-sharing,</w:t>
      </w:r>
      <w:r w:rsidRPr="00A57937">
        <w:rPr>
          <w:rFonts w:eastAsia="Calibri"/>
          <w:kern w:val="22"/>
          <w:szCs w:val="22"/>
          <w:lang w:eastAsia="x-none"/>
        </w:rPr>
        <w:t xml:space="preserve"> and to make them available through the Access and Benefit</w:t>
      </w:r>
      <w:r w:rsidRPr="00A57937">
        <w:rPr>
          <w:rFonts w:eastAsia="Calibri"/>
          <w:kern w:val="22"/>
          <w:szCs w:val="22"/>
          <w:lang w:eastAsia="x-none"/>
        </w:rPr>
        <w:noBreakHyphen/>
        <w:t>sharing Clearing-House</w:t>
      </w:r>
      <w:r w:rsidR="001964A3" w:rsidRPr="00E55E7F">
        <w:rPr>
          <w:rFonts w:eastAsia="Calibri"/>
          <w:kern w:val="22"/>
          <w:szCs w:val="22"/>
          <w:lang w:eastAsia="x-none"/>
        </w:rPr>
        <w:t xml:space="preserve">, and </w:t>
      </w:r>
      <w:r w:rsidR="001964A3" w:rsidRPr="000346A8">
        <w:rPr>
          <w:rFonts w:eastAsia="Calibri"/>
          <w:i/>
          <w:kern w:val="22"/>
          <w:szCs w:val="22"/>
          <w:lang w:eastAsia="x-none"/>
        </w:rPr>
        <w:t>invites</w:t>
      </w:r>
      <w:r w:rsidR="001964A3" w:rsidRPr="00CC7D0A">
        <w:rPr>
          <w:rFonts w:eastAsia="Calibri"/>
          <w:kern w:val="22"/>
          <w:szCs w:val="22"/>
          <w:lang w:eastAsia="x-none"/>
        </w:rPr>
        <w:t xml:space="preserve"> relevant organizations to provide guidance to support indigenous peoples and local communities</w:t>
      </w:r>
      <w:r w:rsidR="001964A3" w:rsidRPr="00500E20">
        <w:rPr>
          <w:rFonts w:eastAsia="Calibri"/>
          <w:kern w:val="22"/>
          <w:szCs w:val="22"/>
          <w:lang w:eastAsia="x-none"/>
        </w:rPr>
        <w:t xml:space="preserve"> in developing these community protocols and procedures</w:t>
      </w:r>
      <w:r w:rsidRPr="00500E20">
        <w:rPr>
          <w:rFonts w:eastAsia="Calibri"/>
          <w:kern w:val="22"/>
          <w:szCs w:val="22"/>
          <w:lang w:eastAsia="x-none"/>
        </w:rPr>
        <w:t>;</w:t>
      </w:r>
    </w:p>
    <w:p w14:paraId="2B9073F5" w14:textId="0EDBAE99" w:rsidR="001964A3" w:rsidRPr="00E55E7F"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14.</w:t>
      </w:r>
      <w:r w:rsidRPr="00AF5130">
        <w:rPr>
          <w:rFonts w:eastAsia="Calibri"/>
          <w:kern w:val="22"/>
          <w:szCs w:val="22"/>
          <w:lang w:eastAsia="x-none"/>
        </w:rPr>
        <w:tab/>
      </w:r>
      <w:r w:rsidRPr="00AF5130">
        <w:rPr>
          <w:rFonts w:eastAsia="Calibri"/>
          <w:i/>
          <w:kern w:val="22"/>
          <w:szCs w:val="22"/>
          <w:lang w:eastAsia="x-none"/>
        </w:rPr>
        <w:t>Invit</w:t>
      </w:r>
      <w:r w:rsidRPr="00C649EC">
        <w:rPr>
          <w:rFonts w:eastAsia="Calibri"/>
          <w:i/>
          <w:kern w:val="22"/>
          <w:szCs w:val="22"/>
          <w:lang w:eastAsia="x-none"/>
        </w:rPr>
        <w:t>es</w:t>
      </w:r>
      <w:r w:rsidR="00913A7A" w:rsidRPr="00C649EC">
        <w:rPr>
          <w:rFonts w:eastAsia="Calibri"/>
          <w:i/>
          <w:kern w:val="22"/>
          <w:szCs w:val="22"/>
          <w:lang w:eastAsia="x-none"/>
        </w:rPr>
        <w:t xml:space="preserve"> </w:t>
      </w:r>
      <w:r w:rsidRPr="00BC6196">
        <w:rPr>
          <w:rFonts w:eastAsia="Calibri"/>
          <w:kern w:val="22"/>
          <w:szCs w:val="22"/>
          <w:lang w:eastAsia="x-none"/>
        </w:rPr>
        <w:t>relevant stakeholders and user organizations and networks to engage in access and benefit-sharing processes, including by developing tools, such as model contractual clauses, codes of conduct,</w:t>
      </w:r>
      <w:r w:rsidR="002A7AAD" w:rsidRPr="00A57937">
        <w:rPr>
          <w:rFonts w:eastAsia="Calibri"/>
          <w:kern w:val="22"/>
          <w:szCs w:val="22"/>
          <w:lang w:eastAsia="x-none"/>
        </w:rPr>
        <w:t xml:space="preserve"> </w:t>
      </w:r>
      <w:r w:rsidRPr="00A57937">
        <w:rPr>
          <w:rFonts w:eastAsia="Calibri"/>
          <w:kern w:val="22"/>
          <w:szCs w:val="22"/>
          <w:lang w:eastAsia="x-none"/>
        </w:rPr>
        <w:t>guidelines, best practices and/or standards that address the</w:t>
      </w:r>
      <w:r w:rsidRPr="00E55E7F">
        <w:rPr>
          <w:rFonts w:eastAsia="Calibri"/>
          <w:kern w:val="22"/>
          <w:szCs w:val="22"/>
          <w:lang w:eastAsia="x-none"/>
        </w:rPr>
        <w:t xml:space="preserve"> needs of their constituency and facilitate compliance with access and benefit-sharing requirements,</w:t>
      </w:r>
      <w:r w:rsidR="00761987" w:rsidRPr="00E55E7F">
        <w:rPr>
          <w:rFonts w:eastAsia="Calibri"/>
          <w:kern w:val="22"/>
          <w:szCs w:val="22"/>
          <w:lang w:eastAsia="x-none"/>
        </w:rPr>
        <w:t xml:space="preserve"> </w:t>
      </w:r>
      <w:r w:rsidRPr="00A57937">
        <w:rPr>
          <w:rFonts w:eastAsia="Calibri"/>
          <w:kern w:val="22"/>
          <w:szCs w:val="22"/>
          <w:lang w:eastAsia="x-none"/>
        </w:rPr>
        <w:t>and to make these tools available through the Access and Benefit-sharing Clearing-House;</w:t>
      </w:r>
    </w:p>
    <w:p w14:paraId="7CD2B484" w14:textId="1718C028"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B31519">
        <w:rPr>
          <w:rFonts w:eastAsia="Calibri"/>
          <w:kern w:val="22"/>
          <w:szCs w:val="22"/>
          <w:lang w:eastAsia="x-none"/>
        </w:rPr>
        <w:t>15.</w:t>
      </w:r>
      <w:r w:rsidRPr="00B31519">
        <w:rPr>
          <w:rFonts w:eastAsia="Calibri"/>
          <w:kern w:val="22"/>
          <w:szCs w:val="22"/>
          <w:lang w:eastAsia="x-none"/>
        </w:rPr>
        <w:tab/>
      </w:r>
      <w:r w:rsidRPr="00806A01">
        <w:rPr>
          <w:rFonts w:eastAsia="Calibri"/>
          <w:i/>
          <w:kern w:val="22"/>
          <w:szCs w:val="22"/>
          <w:lang w:eastAsia="x-none"/>
        </w:rPr>
        <w:t>Notes</w:t>
      </w:r>
      <w:r w:rsidRPr="00AF5130">
        <w:rPr>
          <w:rFonts w:eastAsia="Calibri"/>
          <w:kern w:val="22"/>
          <w:szCs w:val="22"/>
          <w:lang w:eastAsia="x-none"/>
        </w:rPr>
        <w:t xml:space="preserve"> that the work on one or more international legal instruments relating to intellectual property with a view to ensuring the balanced and effective protection of genetic resources, traditional knowledge and traditional cultural expressions under</w:t>
      </w:r>
      <w:r w:rsidRPr="00AF5130">
        <w:rPr>
          <w:rFonts w:eastAsia="Malgun Gothic"/>
          <w:kern w:val="22"/>
          <w:szCs w:val="22"/>
          <w:lang w:eastAsia="x-none"/>
        </w:rPr>
        <w:t xml:space="preserve"> the </w:t>
      </w:r>
      <w:r w:rsidRPr="00AF5130">
        <w:rPr>
          <w:rFonts w:eastAsia="Calibri"/>
          <w:kern w:val="22"/>
          <w:szCs w:val="22"/>
          <w:lang w:eastAsia="x-none"/>
        </w:rPr>
        <w:t>World Intellectual Property Organization is ongoing, and that, therefore, it would be premature to assess how the outcomes of this process could contribute to the implementation of the Protocol;</w:t>
      </w:r>
    </w:p>
    <w:p w14:paraId="3A64147B"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16.</w:t>
      </w:r>
      <w:r w:rsidRPr="00AF5130">
        <w:rPr>
          <w:rFonts w:eastAsia="Calibri"/>
          <w:kern w:val="22"/>
          <w:szCs w:val="22"/>
          <w:lang w:eastAsia="x-none"/>
        </w:rPr>
        <w:tab/>
      </w:r>
      <w:r w:rsidRPr="00AF5130">
        <w:rPr>
          <w:rFonts w:eastAsia="Calibri"/>
          <w:i/>
          <w:kern w:val="22"/>
          <w:szCs w:val="22"/>
          <w:lang w:eastAsia="x-none"/>
        </w:rPr>
        <w:t>Also notes</w:t>
      </w:r>
      <w:r w:rsidRPr="00AF5130">
        <w:rPr>
          <w:rFonts w:eastAsia="Calibri"/>
          <w:kern w:val="22"/>
          <w:szCs w:val="22"/>
          <w:lang w:eastAsia="x-none"/>
        </w:rPr>
        <w:t xml:space="preserve"> that there is insufficient information to measure the effectiveness of Article 18 in accordance with Article 18, paragraph 4, of the Protocol;</w:t>
      </w:r>
    </w:p>
    <w:p w14:paraId="2C727526"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17.</w:t>
      </w:r>
      <w:r w:rsidRPr="00AF5130">
        <w:rPr>
          <w:rFonts w:eastAsia="Calibri"/>
          <w:kern w:val="22"/>
          <w:szCs w:val="22"/>
          <w:lang w:eastAsia="x-none"/>
        </w:rPr>
        <w:tab/>
      </w:r>
      <w:r w:rsidRPr="00AF5130">
        <w:rPr>
          <w:rFonts w:eastAsia="Calibri"/>
          <w:i/>
          <w:kern w:val="22"/>
          <w:szCs w:val="22"/>
          <w:lang w:eastAsia="x-none"/>
        </w:rPr>
        <w:t>Decides</w:t>
      </w:r>
      <w:r w:rsidRPr="00AF5130">
        <w:rPr>
          <w:rFonts w:eastAsia="Calibri"/>
          <w:kern w:val="22"/>
          <w:szCs w:val="22"/>
          <w:lang w:eastAsia="x-none"/>
        </w:rPr>
        <w:t xml:space="preserve"> to assess all elements relevant to the implementation of the Protocol, including that identified in paragraph 16, as well as progress on Article 10 on a global multilateral benefit-sharing mechanism, and Article 23 on technology transfer, collaboration and cooperation, at the second assessment and review of the Protocol;</w:t>
      </w:r>
    </w:p>
    <w:p w14:paraId="3E04EAB4"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18.</w:t>
      </w:r>
      <w:r w:rsidRPr="00AF5130">
        <w:rPr>
          <w:rFonts w:eastAsia="Calibri"/>
          <w:kern w:val="22"/>
          <w:szCs w:val="22"/>
          <w:lang w:eastAsia="x-none"/>
        </w:rPr>
        <w:tab/>
      </w:r>
      <w:r w:rsidRPr="00AF5130">
        <w:rPr>
          <w:rFonts w:eastAsia="Calibri"/>
          <w:i/>
          <w:kern w:val="22"/>
          <w:szCs w:val="22"/>
          <w:lang w:eastAsia="x-none"/>
        </w:rPr>
        <w:t>Requests</w:t>
      </w:r>
      <w:r w:rsidRPr="00AF5130">
        <w:rPr>
          <w:rFonts w:eastAsia="Calibri"/>
          <w:kern w:val="22"/>
          <w:szCs w:val="22"/>
          <w:lang w:eastAsia="x-none"/>
        </w:rPr>
        <w:t xml:space="preserve"> the Executive Secretary:</w:t>
      </w:r>
    </w:p>
    <w:p w14:paraId="5DACC232" w14:textId="20BCF06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u w:color="000000"/>
        </w:rPr>
      </w:pPr>
      <w:r w:rsidRPr="00AF5130">
        <w:rPr>
          <w:rFonts w:eastAsia="Calibri"/>
          <w:kern w:val="22"/>
          <w:szCs w:val="22"/>
          <w:u w:color="000000"/>
        </w:rPr>
        <w:t>(a)</w:t>
      </w:r>
      <w:r w:rsidRPr="00AF5130">
        <w:rPr>
          <w:rFonts w:eastAsia="Calibri"/>
          <w:kern w:val="22"/>
          <w:szCs w:val="22"/>
          <w:u w:color="000000"/>
        </w:rPr>
        <w:tab/>
        <w:t xml:space="preserve">To carry out a targeted survey of </w:t>
      </w:r>
      <w:r w:rsidRPr="00AF5130">
        <w:rPr>
          <w:rFonts w:eastAsia="Calibri"/>
          <w:kern w:val="22"/>
          <w:szCs w:val="22"/>
        </w:rPr>
        <w:t>access and benefit-sharing</w:t>
      </w:r>
      <w:r w:rsidRPr="00AF5130" w:rsidDel="009041AD">
        <w:rPr>
          <w:rFonts w:eastAsia="Calibri"/>
          <w:kern w:val="22"/>
          <w:szCs w:val="22"/>
          <w:u w:color="000000"/>
        </w:rPr>
        <w:t xml:space="preserve"> </w:t>
      </w:r>
      <w:r w:rsidRPr="00AF5130">
        <w:rPr>
          <w:rFonts w:eastAsia="Calibri"/>
          <w:kern w:val="22"/>
          <w:szCs w:val="22"/>
          <w:u w:color="000000"/>
        </w:rPr>
        <w:t>national focal points</w:t>
      </w:r>
      <w:r w:rsidR="005D0AEF" w:rsidRPr="00AF5130">
        <w:rPr>
          <w:rFonts w:eastAsia="Calibri"/>
          <w:kern w:val="22"/>
          <w:szCs w:val="22"/>
          <w:u w:color="000000"/>
        </w:rPr>
        <w:t>, competent national authorities</w:t>
      </w:r>
      <w:r w:rsidR="00476CC8" w:rsidRPr="00AF5130">
        <w:rPr>
          <w:rFonts w:eastAsia="Calibri"/>
          <w:kern w:val="22"/>
          <w:szCs w:val="22"/>
          <w:u w:color="000000"/>
        </w:rPr>
        <w:t>,</w:t>
      </w:r>
      <w:r w:rsidRPr="00AF5130">
        <w:rPr>
          <w:rFonts w:eastAsia="Calibri"/>
          <w:kern w:val="22"/>
          <w:szCs w:val="22"/>
          <w:u w:color="000000"/>
        </w:rPr>
        <w:t xml:space="preserve"> and users and providers of genetic resources and/or associated traditional knowledge on </w:t>
      </w:r>
      <w:r w:rsidRPr="00AF5130">
        <w:rPr>
          <w:rFonts w:eastAsia="Calibri"/>
          <w:kern w:val="22"/>
          <w:szCs w:val="22"/>
          <w:u w:color="000000"/>
        </w:rPr>
        <w:lastRenderedPageBreak/>
        <w:t>challenges related to the implementation of the Protocol to provide an additional source of information in future processes for the assessment and review of the effectiveness of the Protocol;</w:t>
      </w:r>
    </w:p>
    <w:p w14:paraId="47A2EAF4"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u w:color="000000"/>
        </w:rPr>
      </w:pPr>
      <w:r w:rsidRPr="00AF5130">
        <w:rPr>
          <w:rFonts w:eastAsia="Calibri"/>
          <w:kern w:val="22"/>
          <w:szCs w:val="22"/>
          <w:u w:color="000000"/>
        </w:rPr>
        <w:t>(b)</w:t>
      </w:r>
      <w:r w:rsidRPr="00AF5130">
        <w:rPr>
          <w:rFonts w:eastAsia="Calibri"/>
          <w:kern w:val="22"/>
          <w:szCs w:val="22"/>
          <w:u w:color="000000"/>
        </w:rPr>
        <w:tab/>
        <w:t>To take into account the indicators contained in annex II when preparing the proposed format for the next national report on the implementation of the Nagoya Protocol;</w:t>
      </w:r>
    </w:p>
    <w:p w14:paraId="501C76F8" w14:textId="14712529" w:rsidR="0038613F" w:rsidRPr="00E55E7F"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19.</w:t>
      </w:r>
      <w:r w:rsidRPr="00AF5130">
        <w:rPr>
          <w:rFonts w:eastAsia="Calibri"/>
          <w:kern w:val="22"/>
          <w:szCs w:val="22"/>
          <w:lang w:eastAsia="x-none"/>
        </w:rPr>
        <w:tab/>
      </w:r>
      <w:r w:rsidRPr="00AF5130">
        <w:rPr>
          <w:rFonts w:eastAsia="Calibri"/>
          <w:i/>
          <w:kern w:val="22"/>
          <w:szCs w:val="22"/>
          <w:lang w:eastAsia="x-none"/>
        </w:rPr>
        <w:t>Welcomes</w:t>
      </w:r>
      <w:r w:rsidRPr="00AF5130">
        <w:rPr>
          <w:rFonts w:eastAsia="Calibri"/>
          <w:kern w:val="22"/>
          <w:szCs w:val="22"/>
          <w:lang w:eastAsia="x-none"/>
        </w:rPr>
        <w:t xml:space="preserve"> progress made by the Secretariat in the implementation and operation of the Access and Benefit-sharing Clearing-House, and </w:t>
      </w:r>
      <w:r w:rsidRPr="00AF5130">
        <w:rPr>
          <w:rFonts w:eastAsia="Calibri"/>
          <w:i/>
          <w:kern w:val="22"/>
          <w:szCs w:val="22"/>
          <w:lang w:eastAsia="x-none"/>
        </w:rPr>
        <w:t>emphasizes</w:t>
      </w:r>
      <w:r w:rsidRPr="00AF5130">
        <w:rPr>
          <w:rFonts w:eastAsia="Calibri"/>
          <w:kern w:val="22"/>
          <w:szCs w:val="22"/>
          <w:lang w:eastAsia="x-none"/>
        </w:rPr>
        <w:t xml:space="preserve"> the importance of making information available on the procedures to follow in order to access genetic resources and associated traditional knowledge in a country;</w:t>
      </w:r>
    </w:p>
    <w:p w14:paraId="6F0CEA3F" w14:textId="77777777" w:rsidR="0038613F" w:rsidRPr="00B31519"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B31519">
        <w:rPr>
          <w:rFonts w:eastAsia="Calibri"/>
          <w:kern w:val="22"/>
          <w:szCs w:val="22"/>
          <w:lang w:eastAsia="x-none"/>
        </w:rPr>
        <w:t>20.</w:t>
      </w:r>
      <w:r w:rsidRPr="00B31519">
        <w:rPr>
          <w:rFonts w:eastAsia="Calibri"/>
          <w:kern w:val="22"/>
          <w:szCs w:val="22"/>
          <w:lang w:eastAsia="x-none"/>
        </w:rPr>
        <w:tab/>
      </w:r>
      <w:r w:rsidRPr="00B31519">
        <w:rPr>
          <w:rFonts w:eastAsia="Calibri"/>
          <w:i/>
          <w:kern w:val="22"/>
          <w:szCs w:val="22"/>
          <w:lang w:eastAsia="x-none"/>
        </w:rPr>
        <w:t>Requests</w:t>
      </w:r>
      <w:r w:rsidRPr="00B31519">
        <w:rPr>
          <w:rFonts w:eastAsia="Calibri"/>
          <w:kern w:val="22"/>
          <w:szCs w:val="22"/>
          <w:lang w:eastAsia="x-none"/>
        </w:rPr>
        <w:t xml:space="preserve"> the Executive Secretary:</w:t>
      </w:r>
    </w:p>
    <w:p w14:paraId="5D837124" w14:textId="673CB6A4"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(a)</w:t>
      </w:r>
      <w:r w:rsidRPr="00AF5130">
        <w:rPr>
          <w:rFonts w:eastAsia="Calibri"/>
          <w:kern w:val="22"/>
          <w:szCs w:val="22"/>
          <w:lang w:eastAsia="x-none"/>
        </w:rPr>
        <w:tab/>
        <w:t>To prioritize the translation of the Access and Benefit-sharing</w:t>
      </w:r>
      <w:r w:rsidRPr="00AF5130" w:rsidDel="00985E4F">
        <w:rPr>
          <w:rFonts w:eastAsia="Calibri"/>
          <w:kern w:val="22"/>
          <w:szCs w:val="22"/>
          <w:lang w:eastAsia="x-none"/>
        </w:rPr>
        <w:t xml:space="preserve"> </w:t>
      </w:r>
      <w:r w:rsidRPr="00AF5130">
        <w:rPr>
          <w:rFonts w:eastAsia="Calibri"/>
          <w:kern w:val="22"/>
          <w:szCs w:val="22"/>
          <w:lang w:eastAsia="x-none"/>
        </w:rPr>
        <w:t>Clearing-House into the six official languages of the United Nations;</w:t>
      </w:r>
    </w:p>
    <w:p w14:paraId="16984E78" w14:textId="77777777" w:rsidR="0038613F" w:rsidRPr="000346A8"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0346A8">
        <w:rPr>
          <w:rFonts w:eastAsia="Calibri"/>
          <w:kern w:val="22"/>
          <w:szCs w:val="22"/>
          <w:lang w:eastAsia="x-none"/>
        </w:rPr>
        <w:t>(b)</w:t>
      </w:r>
      <w:r w:rsidRPr="000346A8">
        <w:rPr>
          <w:rFonts w:eastAsia="Calibri"/>
          <w:kern w:val="22"/>
          <w:szCs w:val="22"/>
          <w:lang w:eastAsia="x-none"/>
        </w:rPr>
        <w:tab/>
        <w:t>To continue to improve the performance of the Access and Benefit-sharing</w:t>
      </w:r>
      <w:r w:rsidRPr="000346A8" w:rsidDel="00985E4F">
        <w:rPr>
          <w:rFonts w:eastAsia="Calibri"/>
          <w:kern w:val="22"/>
          <w:szCs w:val="22"/>
          <w:lang w:eastAsia="x-none"/>
        </w:rPr>
        <w:t xml:space="preserve"> </w:t>
      </w:r>
      <w:r w:rsidRPr="000346A8">
        <w:rPr>
          <w:rFonts w:eastAsia="Calibri"/>
          <w:kern w:val="22"/>
          <w:szCs w:val="22"/>
          <w:lang w:eastAsia="x-none"/>
        </w:rPr>
        <w:t>Clearing-House</w:t>
      </w:r>
      <w:r w:rsidRPr="000346A8">
        <w:rPr>
          <w:rFonts w:eastAsia="Malgun Gothic"/>
          <w:kern w:val="22"/>
          <w:szCs w:val="22"/>
          <w:lang w:eastAsia="x-none"/>
        </w:rPr>
        <w:t>;</w:t>
      </w:r>
    </w:p>
    <w:p w14:paraId="6C0703A5"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AF5130">
        <w:rPr>
          <w:rFonts w:eastAsia="Calibri"/>
          <w:kern w:val="22"/>
          <w:szCs w:val="22"/>
          <w:lang w:eastAsia="x-none"/>
        </w:rPr>
        <w:t>(c)</w:t>
      </w:r>
      <w:r w:rsidRPr="00AF5130">
        <w:rPr>
          <w:rFonts w:eastAsia="Calibri"/>
          <w:kern w:val="22"/>
          <w:szCs w:val="22"/>
          <w:lang w:eastAsia="x-none"/>
        </w:rPr>
        <w:tab/>
        <w:t>To seek feedback from all types of users of the Access and Benefit-sharing</w:t>
      </w:r>
      <w:r w:rsidRPr="00AF5130" w:rsidDel="00985E4F">
        <w:rPr>
          <w:rFonts w:eastAsia="Calibri"/>
          <w:kern w:val="22"/>
          <w:szCs w:val="22"/>
          <w:lang w:eastAsia="x-none"/>
        </w:rPr>
        <w:t xml:space="preserve"> </w:t>
      </w:r>
      <w:r w:rsidRPr="00AF5130">
        <w:rPr>
          <w:rFonts w:eastAsia="Calibri"/>
          <w:kern w:val="22"/>
          <w:szCs w:val="22"/>
          <w:lang w:eastAsia="x-none"/>
        </w:rPr>
        <w:t>Clearing-House on its implementation and operation;</w:t>
      </w:r>
    </w:p>
    <w:p w14:paraId="6423B7AB" w14:textId="77777777" w:rsidR="0038613F" w:rsidRPr="000362DE"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lang w:eastAsia="x-none"/>
        </w:rPr>
      </w:pPr>
      <w:r w:rsidRPr="00C649EC">
        <w:rPr>
          <w:rFonts w:eastAsia="Calibri"/>
          <w:kern w:val="22"/>
          <w:szCs w:val="22"/>
          <w:lang w:eastAsia="x-none"/>
        </w:rPr>
        <w:t>21.</w:t>
      </w:r>
      <w:r w:rsidRPr="00C649EC">
        <w:rPr>
          <w:rFonts w:eastAsia="Calibri"/>
          <w:kern w:val="22"/>
          <w:szCs w:val="22"/>
          <w:lang w:eastAsia="x-none"/>
        </w:rPr>
        <w:tab/>
      </w:r>
      <w:r w:rsidRPr="00C649EC">
        <w:rPr>
          <w:rFonts w:eastAsia="Calibri"/>
          <w:i/>
          <w:kern w:val="22"/>
          <w:szCs w:val="22"/>
          <w:lang w:eastAsia="x-none"/>
        </w:rPr>
        <w:t>Also requests</w:t>
      </w:r>
      <w:r w:rsidRPr="00BC6196">
        <w:rPr>
          <w:rFonts w:eastAsia="Calibri"/>
          <w:kern w:val="22"/>
          <w:szCs w:val="22"/>
          <w:lang w:eastAsia="x-none"/>
        </w:rPr>
        <w:t xml:space="preserve"> the Executive Secretary</w:t>
      </w:r>
      <w:r w:rsidRPr="000362DE">
        <w:rPr>
          <w:rFonts w:eastAsia="Calibri"/>
          <w:kern w:val="22"/>
          <w:szCs w:val="22"/>
          <w:lang w:eastAsia="x-none"/>
        </w:rPr>
        <w:t xml:space="preserve"> to continue providing technical assistance for the submission of information on the Access and Benefit-sharing Clearing-House, including:</w:t>
      </w:r>
    </w:p>
    <w:p w14:paraId="4949F629" w14:textId="77777777" w:rsidR="0038613F" w:rsidRPr="00B31519"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u w:color="000000"/>
        </w:rPr>
      </w:pPr>
      <w:r w:rsidRPr="00A57937">
        <w:rPr>
          <w:rFonts w:eastAsia="Calibri"/>
          <w:kern w:val="22"/>
          <w:szCs w:val="22"/>
          <w:u w:color="000000"/>
        </w:rPr>
        <w:t>(a)</w:t>
      </w:r>
      <w:r w:rsidRPr="00A57937">
        <w:rPr>
          <w:rFonts w:eastAsia="Calibri"/>
          <w:kern w:val="22"/>
          <w:szCs w:val="22"/>
          <w:u w:color="000000"/>
        </w:rPr>
        <w:tab/>
        <w:t>Encouraging the publication by Parties, as well as non-Parties, of all mandatory and other relevant information a</w:t>
      </w:r>
      <w:r w:rsidRPr="00B31519">
        <w:rPr>
          <w:rFonts w:eastAsia="Calibri"/>
          <w:kern w:val="22"/>
          <w:szCs w:val="22"/>
          <w:u w:color="000000"/>
        </w:rPr>
        <w:t>vailable at the national level in the Access and Benefit-Sharing Clearing-House and to provide training in the use of the Access and Benefit-Sharing Clearing-House;</w:t>
      </w:r>
    </w:p>
    <w:p w14:paraId="357550F9"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u w:color="000000"/>
        </w:rPr>
      </w:pPr>
      <w:r w:rsidRPr="00AF5130">
        <w:rPr>
          <w:rFonts w:eastAsia="Calibri"/>
          <w:kern w:val="22"/>
          <w:szCs w:val="22"/>
          <w:u w:color="000000"/>
        </w:rPr>
        <w:t>(b)</w:t>
      </w:r>
      <w:r w:rsidRPr="00AF5130">
        <w:rPr>
          <w:rFonts w:eastAsia="Calibri"/>
          <w:kern w:val="22"/>
          <w:szCs w:val="22"/>
          <w:u w:color="000000"/>
        </w:rPr>
        <w:tab/>
        <w:t>Encouraging the publication of reference records, as appropriate, by relevant stakeholders, indigenous peoples and local communities, and relevant organizations on the Access and Benefit-Sharing Clearing-House;</w:t>
      </w:r>
    </w:p>
    <w:p w14:paraId="70B01E45" w14:textId="77777777" w:rsidR="0038613F" w:rsidRPr="00AF5130" w:rsidRDefault="0038613F">
      <w:pPr>
        <w:suppressLineNumbers/>
        <w:suppressAutoHyphens/>
        <w:kinsoku w:val="0"/>
        <w:overflowPunct w:val="0"/>
        <w:autoSpaceDE w:val="0"/>
        <w:autoSpaceDN w:val="0"/>
        <w:adjustRightInd w:val="0"/>
        <w:snapToGrid w:val="0"/>
        <w:spacing w:before="120" w:after="120"/>
        <w:ind w:firstLine="720"/>
        <w:rPr>
          <w:rFonts w:eastAsia="Calibri"/>
          <w:kern w:val="22"/>
          <w:szCs w:val="22"/>
          <w:u w:color="000000"/>
        </w:rPr>
      </w:pPr>
      <w:r w:rsidRPr="00AF5130">
        <w:rPr>
          <w:rFonts w:eastAsia="Calibri"/>
          <w:kern w:val="22"/>
          <w:szCs w:val="22"/>
          <w:u w:color="000000"/>
        </w:rPr>
        <w:t>(c)</w:t>
      </w:r>
      <w:r w:rsidRPr="00AF5130">
        <w:rPr>
          <w:rFonts w:eastAsia="Calibri"/>
          <w:kern w:val="22"/>
          <w:szCs w:val="22"/>
          <w:u w:color="000000"/>
        </w:rPr>
        <w:tab/>
        <w:t>Increasing understanding of the functioning of the system for monitoring the utilization of genetic resources through the Access and Benefit-Sharing Clearing-House;</w:t>
      </w:r>
    </w:p>
    <w:p w14:paraId="1166C741" w14:textId="1CC5DDA8" w:rsidR="0038613F" w:rsidRPr="00503236" w:rsidRDefault="0038613F">
      <w:pPr>
        <w:suppressLineNumbers/>
        <w:suppressAutoHyphens/>
        <w:kinsoku w:val="0"/>
        <w:overflowPunct w:val="0"/>
        <w:autoSpaceDE w:val="0"/>
        <w:autoSpaceDN w:val="0"/>
        <w:adjustRightInd w:val="0"/>
        <w:snapToGrid w:val="0"/>
        <w:spacing w:before="120" w:after="120"/>
        <w:ind w:firstLine="720"/>
        <w:rPr>
          <w:rFonts w:eastAsia="Malgun Gothic"/>
          <w:b/>
          <w:snapToGrid w:val="0"/>
          <w:kern w:val="22"/>
          <w:szCs w:val="22"/>
          <w:lang w:eastAsia="en-CA"/>
        </w:rPr>
      </w:pPr>
      <w:r w:rsidRPr="00AF5130">
        <w:rPr>
          <w:rFonts w:eastAsia="Calibri"/>
          <w:kern w:val="22"/>
          <w:szCs w:val="22"/>
          <w:u w:color="000000"/>
        </w:rPr>
        <w:t>(d)</w:t>
      </w:r>
      <w:r w:rsidRPr="00AF5130">
        <w:rPr>
          <w:rFonts w:eastAsia="Calibri"/>
          <w:kern w:val="22"/>
          <w:szCs w:val="22"/>
          <w:u w:color="000000"/>
        </w:rPr>
        <w:tab/>
        <w:t>Encouraging the use of the interoperability features of the Access and Benefit-sharing Clearing-House, such as the application programming interface</w:t>
      </w:r>
      <w:r w:rsidR="00503236">
        <w:rPr>
          <w:rFonts w:eastAsia="Calibri"/>
          <w:kern w:val="22"/>
          <w:szCs w:val="22"/>
          <w:u w:color="000000"/>
        </w:rPr>
        <w:t>;</w:t>
      </w:r>
    </w:p>
    <w:p w14:paraId="3F2B3D57" w14:textId="030EF85E" w:rsidR="0038613F" w:rsidRPr="000346A8" w:rsidRDefault="0038613F">
      <w:pPr>
        <w:pStyle w:val="ListParagraph"/>
        <w:keepNext/>
        <w:numPr>
          <w:ilvl w:val="0"/>
          <w:numId w:val="19"/>
        </w:numPr>
        <w:spacing w:before="120" w:after="120"/>
        <w:ind w:left="0" w:hanging="11"/>
        <w:contextualSpacing w:val="0"/>
        <w:jc w:val="center"/>
        <w:rPr>
          <w:rFonts w:eastAsia="Malgun Gothic"/>
          <w:b/>
          <w:snapToGrid w:val="0"/>
          <w:kern w:val="22"/>
          <w:szCs w:val="22"/>
          <w:lang w:eastAsia="x-none"/>
        </w:rPr>
      </w:pPr>
      <w:r w:rsidRPr="00503236">
        <w:rPr>
          <w:rFonts w:eastAsia="Malgun Gothic"/>
          <w:b/>
          <w:snapToGrid w:val="0"/>
          <w:kern w:val="22"/>
          <w:szCs w:val="22"/>
          <w:lang w:eastAsia="en-CA"/>
        </w:rPr>
        <w:t>Second assessment and review of the effectiveness of the Protocol</w:t>
      </w:r>
    </w:p>
    <w:p w14:paraId="700DD88D" w14:textId="506F0371" w:rsidR="00B9133F" w:rsidRPr="00A1040E" w:rsidRDefault="00B9133F" w:rsidP="000346A8">
      <w:pPr>
        <w:pStyle w:val="ListParagraph"/>
        <w:suppressLineNumbers/>
        <w:suppressAutoHyphens/>
        <w:kinsoku w:val="0"/>
        <w:overflowPunct w:val="0"/>
        <w:autoSpaceDE w:val="0"/>
        <w:autoSpaceDN w:val="0"/>
        <w:adjustRightInd w:val="0"/>
        <w:snapToGrid w:val="0"/>
        <w:spacing w:before="120" w:after="120"/>
        <w:ind w:left="0" w:firstLine="720"/>
        <w:contextualSpacing w:val="0"/>
        <w:rPr>
          <w:rFonts w:eastAsia="Malgun Gothic"/>
          <w:i/>
          <w:kern w:val="22"/>
          <w:szCs w:val="22"/>
          <w:lang w:eastAsia="x-none"/>
        </w:rPr>
      </w:pPr>
      <w:r w:rsidRPr="00A1040E">
        <w:rPr>
          <w:rFonts w:eastAsia="Malgun Gothic"/>
          <w:i/>
          <w:kern w:val="22"/>
          <w:szCs w:val="22"/>
          <w:lang w:eastAsia="x-none"/>
        </w:rPr>
        <w:t>The Conference of the Parties serving as the meeting of the Parties to the Nagoya Protocol</w:t>
      </w:r>
    </w:p>
    <w:p w14:paraId="767274E5" w14:textId="77777777" w:rsidR="0038613F" w:rsidRPr="00A1040E" w:rsidRDefault="0038613F">
      <w:pPr>
        <w:suppressLineNumbers/>
        <w:shd w:val="clear" w:color="auto" w:fill="FFFFFF" w:themeFill="background1"/>
        <w:suppressAutoHyphens/>
        <w:kinsoku w:val="0"/>
        <w:overflowPunct w:val="0"/>
        <w:autoSpaceDE w:val="0"/>
        <w:autoSpaceDN w:val="0"/>
        <w:snapToGrid w:val="0"/>
        <w:spacing w:before="120" w:after="120"/>
        <w:ind w:firstLine="720"/>
        <w:rPr>
          <w:rFonts w:eastAsia="Malgun Gothic"/>
          <w:i/>
          <w:snapToGrid w:val="0"/>
          <w:kern w:val="22"/>
          <w:szCs w:val="22"/>
          <w:lang w:eastAsia="en-CA"/>
        </w:rPr>
      </w:pPr>
      <w:r w:rsidRPr="008964A8">
        <w:rPr>
          <w:rFonts w:eastAsia="Malgun Gothic"/>
          <w:i/>
          <w:kern w:val="22"/>
          <w:szCs w:val="22"/>
        </w:rPr>
        <w:t>Having considered</w:t>
      </w:r>
      <w:r w:rsidRPr="008964A8">
        <w:rPr>
          <w:rFonts w:eastAsia="Malgun Gothic"/>
          <w:kern w:val="22"/>
          <w:szCs w:val="22"/>
        </w:rPr>
        <w:t xml:space="preserve"> the note by the Executive Secretary on assessment and review of the effectiveness of the Protocol (Article 31),</w:t>
      </w:r>
      <w:r w:rsidRPr="00A1040E">
        <w:rPr>
          <w:rFonts w:eastAsia="Malgun Gothic"/>
          <w:kern w:val="22"/>
          <w:szCs w:val="22"/>
          <w:vertAlign w:val="superscript"/>
        </w:rPr>
        <w:footnoteReference w:id="2"/>
      </w:r>
    </w:p>
    <w:p w14:paraId="1FFB6643" w14:textId="77777777" w:rsidR="0038613F" w:rsidRPr="007708FA" w:rsidRDefault="0038613F">
      <w:pPr>
        <w:suppressLineNumbers/>
        <w:shd w:val="clear" w:color="auto" w:fill="FFFFFF" w:themeFill="background1"/>
        <w:suppressAutoHyphens/>
        <w:kinsoku w:val="0"/>
        <w:overflowPunct w:val="0"/>
        <w:autoSpaceDE w:val="0"/>
        <w:autoSpaceDN w:val="0"/>
        <w:snapToGrid w:val="0"/>
        <w:spacing w:before="120" w:after="120"/>
        <w:ind w:firstLine="720"/>
        <w:rPr>
          <w:rFonts w:eastAsia="Malgun Gothic"/>
          <w:i/>
          <w:snapToGrid w:val="0"/>
          <w:kern w:val="22"/>
          <w:szCs w:val="22"/>
          <w:lang w:eastAsia="en-CA"/>
        </w:rPr>
      </w:pPr>
      <w:r w:rsidRPr="008964A8">
        <w:rPr>
          <w:rFonts w:eastAsia="Malgun Gothic"/>
          <w:i/>
          <w:snapToGrid w:val="0"/>
          <w:kern w:val="22"/>
          <w:szCs w:val="22"/>
          <w:lang w:eastAsia="en-CA"/>
        </w:rPr>
        <w:t xml:space="preserve">Mindful </w:t>
      </w:r>
      <w:r w:rsidRPr="008964A8">
        <w:rPr>
          <w:rFonts w:eastAsia="Malgun Gothic"/>
          <w:snapToGrid w:val="0"/>
          <w:kern w:val="22"/>
          <w:szCs w:val="22"/>
          <w:lang w:eastAsia="en-CA"/>
        </w:rPr>
        <w:t>of the linkages between t</w:t>
      </w:r>
      <w:r w:rsidRPr="00AF5130">
        <w:rPr>
          <w:rFonts w:eastAsia="Malgun Gothic"/>
          <w:snapToGrid w:val="0"/>
          <w:kern w:val="22"/>
          <w:szCs w:val="22"/>
          <w:lang w:eastAsia="en-CA"/>
        </w:rPr>
        <w:t>he submission of national reports and the assessment and review process,</w:t>
      </w:r>
    </w:p>
    <w:p w14:paraId="0A8ECF91" w14:textId="18B75CD6" w:rsidR="0038613F" w:rsidRPr="00A57937" w:rsidRDefault="0038613F">
      <w:pPr>
        <w:suppressLineNumbers/>
        <w:shd w:val="clear" w:color="auto" w:fill="FFFFFF" w:themeFill="background1"/>
        <w:suppressAutoHyphens/>
        <w:kinsoku w:val="0"/>
        <w:overflowPunct w:val="0"/>
        <w:autoSpaceDE w:val="0"/>
        <w:autoSpaceDN w:val="0"/>
        <w:snapToGrid w:val="0"/>
        <w:spacing w:before="120" w:after="120"/>
        <w:ind w:firstLine="720"/>
        <w:rPr>
          <w:rFonts w:eastAsia="Malgun Gothic"/>
          <w:snapToGrid w:val="0"/>
          <w:kern w:val="22"/>
          <w:szCs w:val="22"/>
          <w:lang w:eastAsia="en-CA"/>
        </w:rPr>
      </w:pPr>
      <w:r w:rsidRPr="00C649EC">
        <w:rPr>
          <w:rFonts w:eastAsia="Malgun Gothic"/>
          <w:snapToGrid w:val="0"/>
          <w:kern w:val="22"/>
          <w:szCs w:val="22"/>
          <w:lang w:eastAsia="en-CA"/>
        </w:rPr>
        <w:t>1.</w:t>
      </w:r>
      <w:r w:rsidRPr="00C649EC">
        <w:rPr>
          <w:rFonts w:eastAsia="Malgun Gothic"/>
          <w:snapToGrid w:val="0"/>
          <w:kern w:val="22"/>
          <w:szCs w:val="22"/>
          <w:lang w:eastAsia="en-CA"/>
        </w:rPr>
        <w:tab/>
      </w:r>
      <w:r w:rsidRPr="00C649EC">
        <w:rPr>
          <w:rFonts w:eastAsia="Malgun Gothic"/>
          <w:i/>
          <w:snapToGrid w:val="0"/>
          <w:kern w:val="22"/>
          <w:szCs w:val="22"/>
          <w:lang w:eastAsia="en-CA"/>
        </w:rPr>
        <w:t>Decides</w:t>
      </w:r>
      <w:r w:rsidRPr="00C649EC">
        <w:rPr>
          <w:rFonts w:eastAsia="Malgun Gothic"/>
          <w:snapToGrid w:val="0"/>
          <w:kern w:val="22"/>
          <w:szCs w:val="22"/>
          <w:lang w:eastAsia="en-CA"/>
        </w:rPr>
        <w:t xml:space="preserve"> to conduct the second assessment and review of the effectiveness of the Protocol at the sixth meeting of the Conference of the Parties serving as the meeting of the Parties</w:t>
      </w:r>
      <w:r w:rsidRPr="00A57937">
        <w:rPr>
          <w:rFonts w:eastAsia="Malgun Gothic"/>
          <w:snapToGrid w:val="0"/>
          <w:kern w:val="22"/>
          <w:szCs w:val="22"/>
          <w:lang w:eastAsia="en-CA"/>
        </w:rPr>
        <w:t xml:space="preserve"> to the Protocol, in 2024;</w:t>
      </w:r>
    </w:p>
    <w:p w14:paraId="0E446846" w14:textId="6DD537BE" w:rsidR="00E6124B" w:rsidRPr="005A70F4" w:rsidRDefault="0038613F">
      <w:pPr>
        <w:suppressLineNumbers/>
        <w:shd w:val="clear" w:color="auto" w:fill="FFFFFF" w:themeFill="background1"/>
        <w:suppressAutoHyphens/>
        <w:spacing w:before="120" w:after="120"/>
        <w:ind w:firstLine="720"/>
        <w:rPr>
          <w:rFonts w:eastAsia="Malgun Gothic"/>
          <w:snapToGrid w:val="0"/>
          <w:kern w:val="22"/>
          <w:szCs w:val="22"/>
          <w:lang w:eastAsia="en-CA"/>
        </w:rPr>
      </w:pPr>
      <w:r w:rsidRPr="00A57937">
        <w:rPr>
          <w:rFonts w:eastAsia="Malgun Gothic"/>
          <w:snapToGrid w:val="0"/>
          <w:kern w:val="22"/>
          <w:szCs w:val="22"/>
          <w:lang w:eastAsia="en-CA"/>
        </w:rPr>
        <w:t>2.</w:t>
      </w:r>
      <w:r w:rsidRPr="00A57937">
        <w:rPr>
          <w:rFonts w:eastAsia="Malgun Gothic"/>
          <w:snapToGrid w:val="0"/>
          <w:kern w:val="22"/>
          <w:szCs w:val="22"/>
          <w:lang w:eastAsia="en-CA"/>
        </w:rPr>
        <w:tab/>
      </w:r>
      <w:r w:rsidRPr="00E55E7F">
        <w:rPr>
          <w:rFonts w:eastAsia="Malgun Gothic"/>
          <w:i/>
          <w:snapToGrid w:val="0"/>
          <w:kern w:val="22"/>
          <w:szCs w:val="22"/>
          <w:lang w:eastAsia="en-CA"/>
        </w:rPr>
        <w:t>Requests</w:t>
      </w:r>
      <w:r w:rsidRPr="00E55E7F">
        <w:rPr>
          <w:rFonts w:eastAsia="Malgun Gothic"/>
          <w:snapToGrid w:val="0"/>
          <w:kern w:val="22"/>
          <w:szCs w:val="22"/>
          <w:lang w:eastAsia="en-CA"/>
        </w:rPr>
        <w:t xml:space="preserve"> the Executive Secretary to propose a methodology for conducting the second assessment and review of the effectiveness of the Protocol, taking into account the outcomes and lessons learned from the first assessment and</w:t>
      </w:r>
      <w:r w:rsidRPr="00E029A4">
        <w:rPr>
          <w:rFonts w:eastAsia="Malgun Gothic"/>
          <w:snapToGrid w:val="0"/>
          <w:kern w:val="22"/>
          <w:szCs w:val="22"/>
          <w:lang w:eastAsia="en-CA"/>
        </w:rPr>
        <w:t xml:space="preserve"> review process, experiences from the assessment and review process under the Cartagena Protocol on Biosafety, and the post-2020 global biodiversity framework</w:t>
      </w:r>
      <w:r w:rsidR="007F31A1" w:rsidRPr="00E029A4">
        <w:rPr>
          <w:rFonts w:eastAsia="Malgun Gothic"/>
          <w:snapToGrid w:val="0"/>
          <w:kern w:val="22"/>
          <w:szCs w:val="22"/>
          <w:lang w:eastAsia="en-CA"/>
        </w:rPr>
        <w:t>;</w:t>
      </w:r>
    </w:p>
    <w:p w14:paraId="23BD9C22" w14:textId="194E534A" w:rsidR="0038613F" w:rsidRPr="008964A8" w:rsidRDefault="00E6124B">
      <w:pPr>
        <w:suppressLineNumbers/>
        <w:shd w:val="clear" w:color="auto" w:fill="FFFFFF" w:themeFill="background1"/>
        <w:suppressAutoHyphens/>
        <w:spacing w:before="120" w:after="120"/>
        <w:ind w:firstLine="720"/>
        <w:rPr>
          <w:rFonts w:eastAsia="Malgun Gothic"/>
          <w:snapToGrid w:val="0"/>
          <w:kern w:val="22"/>
          <w:szCs w:val="22"/>
          <w:lang w:eastAsia="en-CA"/>
        </w:rPr>
      </w:pPr>
      <w:r w:rsidRPr="00B31519">
        <w:rPr>
          <w:rFonts w:eastAsia="Malgun Gothic"/>
          <w:snapToGrid w:val="0"/>
          <w:kern w:val="22"/>
          <w:szCs w:val="22"/>
          <w:lang w:eastAsia="en-CA"/>
        </w:rPr>
        <w:lastRenderedPageBreak/>
        <w:t>3</w:t>
      </w:r>
      <w:r w:rsidRPr="00806A01">
        <w:rPr>
          <w:rFonts w:eastAsia="Malgun Gothic"/>
          <w:snapToGrid w:val="0"/>
          <w:kern w:val="22"/>
          <w:szCs w:val="22"/>
          <w:lang w:eastAsia="en-CA"/>
        </w:rPr>
        <w:t>.</w:t>
      </w:r>
      <w:r w:rsidR="00B9133F" w:rsidRPr="00806A01">
        <w:rPr>
          <w:rFonts w:eastAsia="Malgun Gothic"/>
          <w:i/>
          <w:snapToGrid w:val="0"/>
          <w:kern w:val="22"/>
          <w:szCs w:val="22"/>
          <w:lang w:eastAsia="en-CA"/>
        </w:rPr>
        <w:tab/>
      </w:r>
      <w:r w:rsidRPr="00806A01">
        <w:rPr>
          <w:rFonts w:eastAsia="Malgun Gothic"/>
          <w:i/>
          <w:snapToGrid w:val="0"/>
          <w:kern w:val="22"/>
          <w:szCs w:val="22"/>
          <w:lang w:eastAsia="en-CA"/>
        </w:rPr>
        <w:t>Requests</w:t>
      </w:r>
      <w:r w:rsidRPr="00F8662E">
        <w:rPr>
          <w:rFonts w:eastAsia="Malgun Gothic"/>
          <w:snapToGrid w:val="0"/>
          <w:kern w:val="22"/>
          <w:szCs w:val="22"/>
          <w:lang w:eastAsia="en-CA"/>
        </w:rPr>
        <w:t xml:space="preserve"> the Subsidiary Body on Implementation </w:t>
      </w:r>
      <w:r w:rsidR="007F31A1" w:rsidRPr="00F8662E">
        <w:rPr>
          <w:rFonts w:eastAsia="Malgun Gothic"/>
          <w:snapToGrid w:val="0"/>
          <w:kern w:val="22"/>
          <w:szCs w:val="22"/>
          <w:lang w:eastAsia="en-CA"/>
        </w:rPr>
        <w:t>to consider</w:t>
      </w:r>
      <w:r w:rsidR="00225860" w:rsidRPr="00F8662E">
        <w:rPr>
          <w:rFonts w:eastAsia="Malgun Gothic"/>
          <w:snapToGrid w:val="0"/>
          <w:kern w:val="22"/>
          <w:szCs w:val="22"/>
          <w:lang w:eastAsia="en-CA"/>
        </w:rPr>
        <w:t xml:space="preserve">, </w:t>
      </w:r>
      <w:r w:rsidR="00225860" w:rsidRPr="000346A8">
        <w:rPr>
          <w:rFonts w:eastAsia="Malgun Gothic"/>
          <w:snapToGrid w:val="0"/>
          <w:kern w:val="22"/>
          <w:szCs w:val="22"/>
          <w:lang w:eastAsia="en-CA"/>
        </w:rPr>
        <w:t>at its fourth meeting,</w:t>
      </w:r>
      <w:r w:rsidR="007F31A1" w:rsidRPr="00B31519">
        <w:rPr>
          <w:rFonts w:eastAsia="Malgun Gothic"/>
          <w:snapToGrid w:val="0"/>
          <w:kern w:val="22"/>
          <w:szCs w:val="22"/>
          <w:lang w:eastAsia="en-CA"/>
        </w:rPr>
        <w:t xml:space="preserve"> the proposed methodology</w:t>
      </w:r>
      <w:r w:rsidR="0060671D" w:rsidRPr="00F8662E">
        <w:rPr>
          <w:rFonts w:eastAsia="Malgun Gothic"/>
          <w:snapToGrid w:val="0"/>
          <w:kern w:val="22"/>
          <w:szCs w:val="22"/>
          <w:lang w:eastAsia="en-CA"/>
        </w:rPr>
        <w:t xml:space="preserve"> </w:t>
      </w:r>
      <w:r w:rsidR="007F31A1" w:rsidRPr="00F8662E">
        <w:rPr>
          <w:rFonts w:eastAsia="Malgun Gothic"/>
          <w:snapToGrid w:val="0"/>
          <w:kern w:val="22"/>
          <w:szCs w:val="22"/>
          <w:lang w:eastAsia="en-CA"/>
        </w:rPr>
        <w:t xml:space="preserve">referred to </w:t>
      </w:r>
      <w:r w:rsidR="00476CC8" w:rsidRPr="00F8662E">
        <w:rPr>
          <w:rFonts w:eastAsia="Malgun Gothic"/>
          <w:snapToGrid w:val="0"/>
          <w:kern w:val="22"/>
          <w:szCs w:val="22"/>
          <w:lang w:eastAsia="en-CA"/>
        </w:rPr>
        <w:t>in paragraph 2</w:t>
      </w:r>
      <w:r w:rsidR="007B0441" w:rsidRPr="00F8662E">
        <w:rPr>
          <w:rFonts w:eastAsia="Malgun Gothic"/>
          <w:snapToGrid w:val="0"/>
          <w:kern w:val="22"/>
          <w:szCs w:val="22"/>
          <w:lang w:eastAsia="en-CA"/>
        </w:rPr>
        <w:t xml:space="preserve"> above </w:t>
      </w:r>
      <w:r w:rsidR="007F31A1" w:rsidRPr="00F8662E">
        <w:rPr>
          <w:rFonts w:eastAsia="Malgun Gothic"/>
          <w:snapToGrid w:val="0"/>
          <w:kern w:val="22"/>
          <w:szCs w:val="22"/>
          <w:lang w:eastAsia="en-CA"/>
        </w:rPr>
        <w:t xml:space="preserve">and make recommendations </w:t>
      </w:r>
      <w:r w:rsidR="0038613F" w:rsidRPr="00F8662E">
        <w:rPr>
          <w:rFonts w:eastAsia="Malgun Gothic"/>
          <w:snapToGrid w:val="0"/>
          <w:kern w:val="22"/>
          <w:szCs w:val="22"/>
          <w:lang w:eastAsia="en-CA"/>
        </w:rPr>
        <w:t xml:space="preserve">for </w:t>
      </w:r>
      <w:r w:rsidR="00F8662E">
        <w:rPr>
          <w:rFonts w:eastAsia="Malgun Gothic"/>
          <w:snapToGrid w:val="0"/>
          <w:kern w:val="22"/>
          <w:szCs w:val="22"/>
          <w:lang w:eastAsia="en-CA"/>
        </w:rPr>
        <w:t xml:space="preserve">the </w:t>
      </w:r>
      <w:r w:rsidR="0038613F" w:rsidRPr="00F8662E">
        <w:rPr>
          <w:rFonts w:eastAsia="Malgun Gothic"/>
          <w:snapToGrid w:val="0"/>
          <w:kern w:val="22"/>
          <w:szCs w:val="22"/>
          <w:lang w:eastAsia="en-CA"/>
        </w:rPr>
        <w:t>consideration of the Conference of the Parties serving as the meeting of the Parties to the Protocol at its fifth meeting;</w:t>
      </w:r>
    </w:p>
    <w:p w14:paraId="3C1B8F81" w14:textId="53770FA6" w:rsidR="0038613F" w:rsidRPr="000C288D" w:rsidRDefault="00476CC8">
      <w:pPr>
        <w:suppressLineNumbers/>
        <w:shd w:val="clear" w:color="auto" w:fill="FFFFFF" w:themeFill="background1"/>
        <w:suppressAutoHyphens/>
        <w:kinsoku w:val="0"/>
        <w:overflowPunct w:val="0"/>
        <w:autoSpaceDE w:val="0"/>
        <w:autoSpaceDN w:val="0"/>
        <w:snapToGrid w:val="0"/>
        <w:spacing w:before="120" w:after="120"/>
        <w:ind w:firstLine="720"/>
        <w:rPr>
          <w:rFonts w:eastAsia="Malgun Gothic"/>
          <w:snapToGrid w:val="0"/>
          <w:kern w:val="22"/>
          <w:szCs w:val="22"/>
          <w:lang w:eastAsia="en-CA"/>
        </w:rPr>
      </w:pPr>
      <w:r w:rsidRPr="007708FA">
        <w:rPr>
          <w:rFonts w:eastAsia="Malgun Gothic"/>
          <w:snapToGrid w:val="0"/>
          <w:kern w:val="22"/>
          <w:szCs w:val="22"/>
          <w:lang w:eastAsia="en-CA"/>
        </w:rPr>
        <w:t>4</w:t>
      </w:r>
      <w:r w:rsidR="0038613F" w:rsidRPr="007708FA">
        <w:rPr>
          <w:rFonts w:eastAsia="Malgun Gothic"/>
          <w:snapToGrid w:val="0"/>
          <w:kern w:val="22"/>
          <w:szCs w:val="22"/>
          <w:lang w:eastAsia="en-CA"/>
        </w:rPr>
        <w:t>.</w:t>
      </w:r>
      <w:r w:rsidR="0038613F" w:rsidRPr="007708FA">
        <w:rPr>
          <w:rFonts w:eastAsia="Malgun Gothic"/>
          <w:snapToGrid w:val="0"/>
          <w:kern w:val="22"/>
          <w:szCs w:val="22"/>
          <w:lang w:eastAsia="en-CA"/>
        </w:rPr>
        <w:tab/>
      </w:r>
      <w:r w:rsidR="0038613F" w:rsidRPr="000C288D">
        <w:rPr>
          <w:rFonts w:eastAsia="Malgun Gothic"/>
          <w:i/>
          <w:snapToGrid w:val="0"/>
          <w:kern w:val="22"/>
          <w:szCs w:val="22"/>
          <w:lang w:eastAsia="en-CA"/>
        </w:rPr>
        <w:t xml:space="preserve">Decides </w:t>
      </w:r>
      <w:r w:rsidR="0038613F" w:rsidRPr="000C288D">
        <w:rPr>
          <w:rFonts w:eastAsia="Malgun Gothic"/>
          <w:snapToGrid w:val="0"/>
          <w:kern w:val="22"/>
          <w:szCs w:val="22"/>
          <w:lang w:eastAsia="en-CA"/>
        </w:rPr>
        <w:t>to revisit the issue of intervals for subsequent assessment and review of the effectiveness of the Protocol at a subsequent meeting of the Conference of the Parties serving as the meeting of the Parties to the Protocol.</w:t>
      </w:r>
    </w:p>
    <w:p w14:paraId="4B11BB70" w14:textId="77777777" w:rsidR="0038613F" w:rsidRPr="00C649EC" w:rsidRDefault="0038613F">
      <w:pPr>
        <w:suppressLineNumbers/>
        <w:shd w:val="clear" w:color="auto" w:fill="FFFFFF" w:themeFill="background1"/>
        <w:suppressAutoHyphens/>
        <w:kinsoku w:val="0"/>
        <w:overflowPunct w:val="0"/>
        <w:autoSpaceDE w:val="0"/>
        <w:autoSpaceDN w:val="0"/>
        <w:adjustRightInd w:val="0"/>
        <w:snapToGrid w:val="0"/>
        <w:rPr>
          <w:rFonts w:eastAsia="Calibri"/>
          <w:kern w:val="22"/>
          <w:szCs w:val="22"/>
          <w:u w:color="000000"/>
        </w:rPr>
      </w:pPr>
    </w:p>
    <w:p w14:paraId="02509341" w14:textId="77777777" w:rsidR="0038613F" w:rsidRPr="00A57937" w:rsidRDefault="0038613F">
      <w:pPr>
        <w:keepNext/>
        <w:suppressLineNumbers/>
        <w:suppressAutoHyphens/>
        <w:kinsoku w:val="0"/>
        <w:overflowPunct w:val="0"/>
        <w:autoSpaceDE w:val="0"/>
        <w:autoSpaceDN w:val="0"/>
        <w:adjustRightInd w:val="0"/>
        <w:snapToGrid w:val="0"/>
        <w:jc w:val="center"/>
        <w:outlineLvl w:val="2"/>
        <w:rPr>
          <w:rFonts w:eastAsia="Malgun Gothic"/>
          <w:i/>
          <w:kern w:val="22"/>
          <w:szCs w:val="22"/>
        </w:rPr>
      </w:pPr>
      <w:r w:rsidRPr="00A57937">
        <w:rPr>
          <w:rFonts w:eastAsia="Malgun Gothic"/>
          <w:i/>
          <w:kern w:val="22"/>
          <w:szCs w:val="22"/>
        </w:rPr>
        <w:t>Annex I</w:t>
      </w:r>
    </w:p>
    <w:p w14:paraId="682DD6BD" w14:textId="77777777" w:rsidR="0038613F" w:rsidRPr="00B31519" w:rsidRDefault="0038613F">
      <w:pPr>
        <w:keepNext/>
        <w:suppressLineNumbers/>
        <w:suppressAutoHyphens/>
        <w:kinsoku w:val="0"/>
        <w:overflowPunct w:val="0"/>
        <w:autoSpaceDE w:val="0"/>
        <w:autoSpaceDN w:val="0"/>
        <w:adjustRightInd w:val="0"/>
        <w:snapToGrid w:val="0"/>
        <w:spacing w:before="120" w:after="120"/>
        <w:jc w:val="center"/>
        <w:rPr>
          <w:rFonts w:eastAsia="Malgun Gothic"/>
          <w:b/>
          <w:kern w:val="22"/>
          <w:szCs w:val="22"/>
        </w:rPr>
      </w:pPr>
      <w:r w:rsidRPr="00B31519">
        <w:rPr>
          <w:rFonts w:eastAsia="Malgun Gothic"/>
          <w:b/>
          <w:kern w:val="22"/>
          <w:szCs w:val="22"/>
        </w:rPr>
        <w:t>KEY FINDINGS</w:t>
      </w:r>
    </w:p>
    <w:p w14:paraId="4193FE5C" w14:textId="77777777" w:rsidR="0038613F" w:rsidRPr="000346A8" w:rsidRDefault="0038613F">
      <w:pPr>
        <w:keepNext/>
        <w:suppressLineNumbers/>
        <w:suppressAutoHyphens/>
        <w:kinsoku w:val="0"/>
        <w:overflowPunct w:val="0"/>
        <w:autoSpaceDE w:val="0"/>
        <w:autoSpaceDN w:val="0"/>
        <w:adjustRightInd w:val="0"/>
        <w:snapToGrid w:val="0"/>
        <w:ind w:left="1267" w:hanging="1267"/>
        <w:rPr>
          <w:rFonts w:ascii="Times New Roman Bold" w:eastAsia="Calibri" w:hAnsi="Times New Roman Bold"/>
          <w:b/>
          <w:color w:val="000000"/>
          <w:spacing w:val="-1"/>
          <w:kern w:val="22"/>
          <w:szCs w:val="22"/>
          <w:u w:color="000000"/>
        </w:rPr>
      </w:pPr>
      <w:r w:rsidRPr="000346A8">
        <w:rPr>
          <w:rFonts w:ascii="Times New Roman Bold" w:eastAsia="Calibri" w:hAnsi="Times New Roman Bold"/>
          <w:b/>
          <w:color w:val="000000"/>
          <w:spacing w:val="-1"/>
          <w:kern w:val="22"/>
          <w:szCs w:val="22"/>
          <w:u w:color="000000"/>
        </w:rPr>
        <w:t>Element (a):</w:t>
      </w:r>
      <w:r w:rsidRPr="000346A8">
        <w:rPr>
          <w:rFonts w:ascii="Times New Roman Bold" w:eastAsia="Calibri" w:hAnsi="Times New Roman Bold"/>
          <w:b/>
          <w:color w:val="000000"/>
          <w:spacing w:val="-1"/>
          <w:kern w:val="22"/>
          <w:szCs w:val="22"/>
          <w:u w:color="000000"/>
        </w:rPr>
        <w:tab/>
        <w:t>Extent of implementation of the provisions of the Nagoya Protocol and related obligations of Parties, including assessment of progress by Parties in establishing institutional structures and access and benefit-sharing</w:t>
      </w:r>
      <w:r w:rsidRPr="000346A8" w:rsidDel="00CE65DF">
        <w:rPr>
          <w:rFonts w:ascii="Times New Roman Bold" w:eastAsia="Calibri" w:hAnsi="Times New Roman Bold"/>
          <w:b/>
          <w:color w:val="000000"/>
          <w:spacing w:val="-1"/>
          <w:kern w:val="22"/>
          <w:szCs w:val="22"/>
          <w:u w:color="000000"/>
        </w:rPr>
        <w:t xml:space="preserve"> </w:t>
      </w:r>
      <w:r w:rsidRPr="000346A8">
        <w:rPr>
          <w:rFonts w:ascii="Times New Roman Bold" w:eastAsia="Calibri" w:hAnsi="Times New Roman Bold"/>
          <w:b/>
          <w:color w:val="000000"/>
          <w:spacing w:val="-1"/>
          <w:kern w:val="22"/>
          <w:szCs w:val="22"/>
          <w:u w:color="000000"/>
        </w:rPr>
        <w:t>measures to implement the Protocol</w:t>
      </w:r>
    </w:p>
    <w:p w14:paraId="6591D6E7" w14:textId="57F714E5"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1.</w:t>
      </w:r>
      <w:r w:rsidRPr="00A1040E">
        <w:rPr>
          <w:rFonts w:eastAsia="Malgun Gothic"/>
          <w:kern w:val="22"/>
          <w:szCs w:val="22"/>
          <w:lang w:eastAsia="x-none"/>
        </w:rPr>
        <w:tab/>
        <w:t xml:space="preserve">In order to make the Nagoya Protocol operational, Parties need to establish access and benefit-sharing </w:t>
      </w:r>
      <w:r w:rsidR="00A20BC9">
        <w:rPr>
          <w:rFonts w:eastAsia="Malgun Gothic"/>
          <w:kern w:val="22"/>
          <w:szCs w:val="22"/>
          <w:lang w:eastAsia="x-none"/>
        </w:rPr>
        <w:t xml:space="preserve">(ABS) </w:t>
      </w:r>
      <w:r w:rsidRPr="00A1040E">
        <w:rPr>
          <w:rFonts w:eastAsia="Malgun Gothic"/>
          <w:kern w:val="22"/>
          <w:szCs w:val="22"/>
          <w:lang w:eastAsia="x-none"/>
        </w:rPr>
        <w:t>legislative, administrative and policy measures and institutional arrangements and many Parties are still in the process of establishing these measures and institutions. For many Parties, this process is time-consuming and challenging.</w:t>
      </w:r>
    </w:p>
    <w:p w14:paraId="26EE40B3"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2.</w:t>
      </w:r>
      <w:r w:rsidRPr="00A1040E">
        <w:rPr>
          <w:rFonts w:eastAsia="Malgun Gothic"/>
          <w:kern w:val="22"/>
          <w:szCs w:val="22"/>
          <w:lang w:eastAsia="x-none"/>
        </w:rPr>
        <w:tab/>
        <w:t>Progress in establishing institutional arrangements, such as competent national authorities and checkpoints, is closely related to progress in adopting ABS measures. Some measures adopted prior to the Nagoya Protocol included the designation of competent national authorities. However, the designation of checkpoints is a new requirement created by the Protocol and still needs to be addressed by many Parties.</w:t>
      </w:r>
    </w:p>
    <w:p w14:paraId="1D34D245"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3.</w:t>
      </w:r>
      <w:r w:rsidRPr="00A1040E">
        <w:rPr>
          <w:rFonts w:eastAsia="Malgun Gothic"/>
          <w:kern w:val="22"/>
          <w:szCs w:val="22"/>
          <w:lang w:eastAsia="x-none"/>
        </w:rPr>
        <w:tab/>
        <w:t>Although the publication of mandatory information in the ABS Clearing-House is essential for the implementation of the Protocol, a number of Parties have not yet published on the ABS Clearing-House all available national information in accordance with Article 14 of the Nagoya Protocol.</w:t>
      </w:r>
    </w:p>
    <w:p w14:paraId="0E73603C"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4.</w:t>
      </w:r>
      <w:r w:rsidRPr="00A1040E">
        <w:rPr>
          <w:rFonts w:eastAsia="Malgun Gothic"/>
          <w:kern w:val="22"/>
          <w:szCs w:val="22"/>
          <w:lang w:eastAsia="x-none"/>
        </w:rPr>
        <w:tab/>
        <w:t>Considering its cross-cutting nature, the implementation of the Protocol requires the participation of indigenous peoples and local communities and relevant stakeholders (e.g. different business sectors and the scientific community) as well as coordination among different institutions and ministries (e.g. science and education, agriculture, trade, intellectual property). To assist in addressing this challenge, appropriate mechanisms could be established to facilitate coordination and participation, and awareness-raising and capacity-building may be required.</w:t>
      </w:r>
    </w:p>
    <w:p w14:paraId="7B3F95FD"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5.</w:t>
      </w:r>
      <w:r w:rsidRPr="00A1040E">
        <w:rPr>
          <w:rFonts w:eastAsia="Malgun Gothic"/>
          <w:kern w:val="22"/>
          <w:szCs w:val="22"/>
          <w:lang w:eastAsia="x-none"/>
        </w:rPr>
        <w:tab/>
        <w:t>Other key challenges include developing ABS measures that support benefit-sharing while creating legal certainty, avoiding unnecessary complexity, delays and increased burdens and costs on users and</w:t>
      </w:r>
      <w:r w:rsidRPr="00A1040E" w:rsidDel="00560BF1">
        <w:rPr>
          <w:rFonts w:eastAsia="Malgun Gothic"/>
          <w:kern w:val="22"/>
          <w:szCs w:val="22"/>
          <w:lang w:eastAsia="x-none"/>
        </w:rPr>
        <w:t xml:space="preserve"> </w:t>
      </w:r>
      <w:r w:rsidRPr="00A1040E">
        <w:rPr>
          <w:rFonts w:eastAsia="Malgun Gothic"/>
          <w:kern w:val="22"/>
          <w:szCs w:val="22"/>
          <w:lang w:eastAsia="x-none"/>
        </w:rPr>
        <w:t>limited human resources working on ABS and the Nagoya Protocol in many Parties.</w:t>
      </w:r>
    </w:p>
    <w:p w14:paraId="516A13F4" w14:textId="09BDA1DF"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6.</w:t>
      </w:r>
      <w:r w:rsidRPr="00A1040E">
        <w:rPr>
          <w:rFonts w:eastAsia="Malgun Gothic"/>
          <w:kern w:val="22"/>
          <w:szCs w:val="22"/>
          <w:lang w:eastAsia="x-none"/>
        </w:rPr>
        <w:tab/>
        <w:t>In the light of these challenges, the development of interim measures could be considered as a first step. The needs of users of genetic resources and associated traditional knowledge</w:t>
      </w:r>
      <w:r w:rsidR="00476CC8" w:rsidRPr="00A1040E">
        <w:rPr>
          <w:rFonts w:eastAsia="Malgun Gothic"/>
          <w:kern w:val="22"/>
          <w:szCs w:val="22"/>
          <w:lang w:eastAsia="x-none"/>
        </w:rPr>
        <w:t>, including</w:t>
      </w:r>
      <w:r w:rsidR="00E6124B" w:rsidRPr="00A1040E">
        <w:rPr>
          <w:rFonts w:eastAsia="Malgun Gothic"/>
          <w:kern w:val="22"/>
          <w:szCs w:val="22"/>
          <w:lang w:eastAsia="x-none"/>
        </w:rPr>
        <w:t xml:space="preserve"> relevant stakeholders </w:t>
      </w:r>
      <w:r w:rsidRPr="00A1040E">
        <w:rPr>
          <w:rFonts w:eastAsia="Malgun Gothic"/>
          <w:kern w:val="22"/>
          <w:szCs w:val="22"/>
          <w:lang w:eastAsia="x-none"/>
        </w:rPr>
        <w:t>from different sectors</w:t>
      </w:r>
      <w:r w:rsidR="00386380" w:rsidRPr="00A1040E">
        <w:rPr>
          <w:rFonts w:eastAsia="Malgun Gothic"/>
          <w:kern w:val="22"/>
          <w:szCs w:val="22"/>
          <w:lang w:eastAsia="x-none"/>
        </w:rPr>
        <w:t>,</w:t>
      </w:r>
      <w:r w:rsidRPr="00A1040E">
        <w:rPr>
          <w:rFonts w:eastAsia="Malgun Gothic"/>
          <w:kern w:val="22"/>
          <w:szCs w:val="22"/>
          <w:lang w:eastAsia="x-none"/>
        </w:rPr>
        <w:t xml:space="preserve"> should also be taken into account in developing ABS measures. Regional approaches may also be useful to support harmonized implementation of the Protocol.</w:t>
      </w:r>
      <w:r w:rsidRPr="000346A8">
        <w:rPr>
          <w:rFonts w:eastAsia="Calibri"/>
          <w:kern w:val="22"/>
          <w:szCs w:val="22"/>
          <w:vertAlign w:val="superscript"/>
          <w:lang w:eastAsia="x-none"/>
        </w:rPr>
        <w:footnoteReference w:id="3"/>
      </w:r>
    </w:p>
    <w:p w14:paraId="6D8C5A05" w14:textId="77777777" w:rsidR="0038613F" w:rsidRPr="008964A8"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8964A8">
        <w:rPr>
          <w:rFonts w:eastAsia="Malgun Gothic"/>
          <w:kern w:val="22"/>
          <w:szCs w:val="22"/>
          <w:lang w:eastAsia="x-none"/>
        </w:rPr>
        <w:t>7.</w:t>
      </w:r>
      <w:r w:rsidRPr="008964A8">
        <w:rPr>
          <w:rFonts w:eastAsia="Malgun Gothic"/>
          <w:kern w:val="22"/>
          <w:szCs w:val="22"/>
          <w:lang w:eastAsia="x-none"/>
        </w:rPr>
        <w:tab/>
        <w:t>Implementing some of the new elements of the Protocol, namely the provisions on compliance, monitoring the utilization of genetic resources, including the designation of checkpoints, and the obligations related to indigenous peoples and local communities, presents a particular challenge.</w:t>
      </w:r>
    </w:p>
    <w:p w14:paraId="3C665E9D" w14:textId="0A10024D" w:rsidR="0038613F" w:rsidRPr="00A57937"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C649EC">
        <w:rPr>
          <w:rFonts w:eastAsia="Malgun Gothic"/>
          <w:kern w:val="22"/>
          <w:szCs w:val="22"/>
          <w:lang w:eastAsia="x-none"/>
        </w:rPr>
        <w:t>8.</w:t>
      </w:r>
      <w:r w:rsidRPr="00C649EC">
        <w:rPr>
          <w:rFonts w:eastAsia="Malgun Gothic"/>
          <w:kern w:val="22"/>
          <w:szCs w:val="22"/>
          <w:lang w:eastAsia="x-none"/>
        </w:rPr>
        <w:tab/>
        <w:t>The Nagoya Protocol does not distinguish between countries that are users and countries that are providers of genetic resources</w:t>
      </w:r>
      <w:r w:rsidR="0099433F">
        <w:rPr>
          <w:rFonts w:eastAsia="Malgun Gothic"/>
          <w:kern w:val="22"/>
          <w:szCs w:val="22"/>
          <w:lang w:eastAsia="x-none"/>
        </w:rPr>
        <w:t>,</w:t>
      </w:r>
      <w:r w:rsidRPr="00C649EC">
        <w:rPr>
          <w:rFonts w:eastAsia="Malgun Gothic"/>
          <w:kern w:val="22"/>
          <w:szCs w:val="22"/>
          <w:lang w:eastAsia="x-none"/>
        </w:rPr>
        <w:t xml:space="preserve"> and obligations in the Protocol apply to all Parties, including provisions related to compliance with domestic legislation or regulatory requirem</w:t>
      </w:r>
      <w:r w:rsidRPr="00A57937">
        <w:rPr>
          <w:rFonts w:eastAsia="Malgun Gothic"/>
          <w:kern w:val="22"/>
          <w:szCs w:val="22"/>
          <w:lang w:eastAsia="x-none"/>
        </w:rPr>
        <w:t>ents according to Articles 15 and 16.</w:t>
      </w:r>
    </w:p>
    <w:p w14:paraId="3E487CFC" w14:textId="175D7A80" w:rsidR="0038613F" w:rsidRPr="00B31519"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57937">
        <w:rPr>
          <w:rFonts w:eastAsia="Malgun Gothic"/>
          <w:kern w:val="22"/>
          <w:szCs w:val="22"/>
          <w:lang w:eastAsia="x-none"/>
        </w:rPr>
        <w:lastRenderedPageBreak/>
        <w:t>9.</w:t>
      </w:r>
      <w:r w:rsidRPr="00A57937">
        <w:rPr>
          <w:rFonts w:eastAsia="Malgun Gothic"/>
          <w:kern w:val="22"/>
          <w:szCs w:val="22"/>
          <w:lang w:eastAsia="x-none"/>
        </w:rPr>
        <w:tab/>
        <w:t xml:space="preserve">With respect to checkpoints, there is a need for Parties to better understand their functions and options for their designation in </w:t>
      </w:r>
      <w:r w:rsidR="003E73AC">
        <w:rPr>
          <w:rFonts w:eastAsia="Malgun Gothic"/>
          <w:kern w:val="22"/>
          <w:szCs w:val="22"/>
          <w:lang w:eastAsia="x-none"/>
        </w:rPr>
        <w:t xml:space="preserve">the </w:t>
      </w:r>
      <w:r w:rsidRPr="00A57937">
        <w:rPr>
          <w:rFonts w:eastAsia="Malgun Gothic"/>
          <w:kern w:val="22"/>
          <w:szCs w:val="22"/>
          <w:lang w:eastAsia="x-none"/>
        </w:rPr>
        <w:t>light of their national context. There is also a need to build the capacity of check</w:t>
      </w:r>
      <w:r w:rsidRPr="00B31519">
        <w:rPr>
          <w:rFonts w:eastAsia="Malgun Gothic"/>
          <w:kern w:val="22"/>
          <w:szCs w:val="22"/>
          <w:lang w:eastAsia="x-none"/>
        </w:rPr>
        <w:t>points to enable them to carry out their functions.</w:t>
      </w:r>
    </w:p>
    <w:p w14:paraId="7DEFA21D"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10.</w:t>
      </w:r>
      <w:r w:rsidRPr="00A1040E">
        <w:rPr>
          <w:rFonts w:eastAsia="Malgun Gothic"/>
          <w:kern w:val="22"/>
          <w:szCs w:val="22"/>
          <w:lang w:eastAsia="x-none"/>
        </w:rPr>
        <w:tab/>
        <w:t>With respect to indigenous peoples and local communities, challenges include: determining how the concept of “indigenous peoples and local communities” applies at the national level; clarifying the rights of indigenous peoples and local communities over genetic resources and/or traditional knowledge associated with genetic resources; identifying the different groups of indigenous peoples and local communities; understanding the way they are organized; and linking traditional knowledge with the holder/s of such knowledge. In order to address these challenges, the following could be considered:</w:t>
      </w:r>
    </w:p>
    <w:p w14:paraId="6D2B392E" w14:textId="77777777" w:rsidR="0038613F" w:rsidRPr="00A1040E" w:rsidRDefault="0038613F" w:rsidP="000346A8">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ind w:firstLine="709"/>
        <w:rPr>
          <w:rFonts w:eastAsia="Calibri"/>
          <w:kern w:val="22"/>
          <w:szCs w:val="22"/>
          <w:u w:color="000000"/>
        </w:rPr>
      </w:pPr>
      <w:r w:rsidRPr="00A1040E">
        <w:rPr>
          <w:rFonts w:eastAsia="Calibri"/>
          <w:kern w:val="22"/>
          <w:szCs w:val="22"/>
          <w:u w:color="000000"/>
        </w:rPr>
        <w:t>(a)</w:t>
      </w:r>
      <w:r w:rsidRPr="00A1040E">
        <w:rPr>
          <w:rFonts w:eastAsia="Calibri"/>
          <w:kern w:val="22"/>
          <w:szCs w:val="22"/>
          <w:u w:color="000000"/>
        </w:rPr>
        <w:tab/>
        <w:t>Building the capacity of Parties to support the implementation of the provisions of the Protocol related to indigenous peoples and local communities as well as the capacity of indigenous peoples and local communities with respect to ABS issues;</w:t>
      </w:r>
    </w:p>
    <w:p w14:paraId="2E3D8349" w14:textId="77777777" w:rsidR="0038613F" w:rsidRPr="00A1040E" w:rsidRDefault="0038613F" w:rsidP="000346A8">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ind w:firstLine="709"/>
        <w:rPr>
          <w:rFonts w:eastAsia="Calibri"/>
          <w:kern w:val="22"/>
          <w:szCs w:val="22"/>
          <w:u w:color="000000"/>
        </w:rPr>
      </w:pPr>
      <w:r w:rsidRPr="00A1040E">
        <w:rPr>
          <w:rFonts w:eastAsia="Calibri"/>
          <w:kern w:val="22"/>
          <w:szCs w:val="22"/>
          <w:u w:color="000000"/>
        </w:rPr>
        <w:t>(b)</w:t>
      </w:r>
      <w:r w:rsidRPr="00A1040E">
        <w:rPr>
          <w:rFonts w:eastAsia="Calibri"/>
          <w:kern w:val="22"/>
          <w:szCs w:val="22"/>
          <w:u w:color="000000"/>
        </w:rPr>
        <w:tab/>
        <w:t>Relevant work of the Ad Hoc Open-ended Working Group on Article 8(j) and Related Provisions on the concept of indigenous peoples and local communities;</w:t>
      </w:r>
      <w:r w:rsidRPr="000346A8">
        <w:rPr>
          <w:rFonts w:eastAsia="Calibri"/>
          <w:kern w:val="22"/>
          <w:szCs w:val="22"/>
          <w:vertAlign w:val="superscript"/>
        </w:rPr>
        <w:footnoteReference w:id="4"/>
      </w:r>
    </w:p>
    <w:p w14:paraId="08E25ED1" w14:textId="77777777" w:rsidR="0038613F" w:rsidRPr="00C649EC" w:rsidRDefault="0038613F" w:rsidP="000346A8">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ind w:firstLine="709"/>
        <w:rPr>
          <w:rFonts w:eastAsia="Calibri"/>
          <w:kern w:val="22"/>
          <w:szCs w:val="22"/>
          <w:u w:color="000000"/>
        </w:rPr>
      </w:pPr>
      <w:r w:rsidRPr="008964A8">
        <w:rPr>
          <w:rFonts w:eastAsia="Calibri"/>
          <w:kern w:val="22"/>
          <w:szCs w:val="22"/>
          <w:u w:color="000000"/>
        </w:rPr>
        <w:t>(c)</w:t>
      </w:r>
      <w:r w:rsidRPr="008964A8">
        <w:rPr>
          <w:rFonts w:eastAsia="Calibri"/>
          <w:kern w:val="22"/>
          <w:szCs w:val="22"/>
          <w:u w:color="000000"/>
        </w:rPr>
        <w:tab/>
        <w:t>National mechanisms for the participation of indigenous peoples and local communities in the implementation of the provisions of the Protocol related to indigenous peoples and local communities, taking into account</w:t>
      </w:r>
      <w:r w:rsidRPr="00C649EC">
        <w:rPr>
          <w:rFonts w:eastAsia="Calibri"/>
          <w:kern w:val="22"/>
          <w:szCs w:val="22"/>
          <w:u w:color="000000"/>
        </w:rPr>
        <w:t xml:space="preserve"> national circumstances;</w:t>
      </w:r>
    </w:p>
    <w:p w14:paraId="6F5C1C7D" w14:textId="77777777" w:rsidR="0038613F" w:rsidRPr="00A57937" w:rsidRDefault="0038613F" w:rsidP="000346A8">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ind w:firstLine="709"/>
        <w:rPr>
          <w:rFonts w:eastAsia="Calibri"/>
          <w:kern w:val="22"/>
          <w:szCs w:val="22"/>
          <w:u w:color="000000"/>
        </w:rPr>
      </w:pPr>
      <w:r w:rsidRPr="00A57937">
        <w:rPr>
          <w:rFonts w:eastAsia="Calibri"/>
          <w:kern w:val="22"/>
          <w:szCs w:val="22"/>
          <w:u w:color="000000"/>
        </w:rPr>
        <w:t>(d)</w:t>
      </w:r>
      <w:r w:rsidRPr="00A57937">
        <w:rPr>
          <w:rFonts w:eastAsia="Calibri"/>
          <w:kern w:val="22"/>
          <w:szCs w:val="22"/>
          <w:u w:color="000000"/>
        </w:rPr>
        <w:tab/>
        <w:t>Support for coordination and institution building within and among indigenous peoples and local communities to address ABS issues including through the development of community protocols;</w:t>
      </w:r>
    </w:p>
    <w:p w14:paraId="3BBDD9D4" w14:textId="77777777" w:rsidR="0038613F" w:rsidRPr="00B31519" w:rsidRDefault="0038613F" w:rsidP="000346A8">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ind w:firstLine="709"/>
        <w:rPr>
          <w:rFonts w:eastAsia="Calibri"/>
          <w:kern w:val="22"/>
          <w:szCs w:val="22"/>
          <w:u w:color="000000"/>
        </w:rPr>
      </w:pPr>
      <w:r w:rsidRPr="00B31519">
        <w:rPr>
          <w:rFonts w:eastAsia="Calibri"/>
          <w:kern w:val="22"/>
          <w:szCs w:val="22"/>
          <w:u w:color="000000"/>
        </w:rPr>
        <w:t>(e)</w:t>
      </w:r>
      <w:r w:rsidRPr="00B31519">
        <w:rPr>
          <w:rFonts w:eastAsia="Calibri"/>
          <w:kern w:val="22"/>
          <w:szCs w:val="22"/>
          <w:u w:color="000000"/>
        </w:rPr>
        <w:tab/>
        <w:t>Capacity-building to support indigenous peoples and local communities in developing minimum requirements for mutually agreed terms and model contractual clauses for benefit-sharing arising from the utilization of traditional knowledge associated with genetic resources.</w:t>
      </w:r>
    </w:p>
    <w:p w14:paraId="7D5A5B93"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11.</w:t>
      </w:r>
      <w:r w:rsidRPr="00A1040E">
        <w:rPr>
          <w:rFonts w:eastAsia="Malgun Gothic"/>
          <w:kern w:val="22"/>
          <w:szCs w:val="22"/>
          <w:lang w:eastAsia="x-none"/>
        </w:rPr>
        <w:tab/>
        <w:t>Parties have different approaches to prior informed consent, mutually agreed terms and the issuance of permits. It is important for Parties to make clear information available on the ABS Clearing-House on the procedures to follow to access genetic resources and associated traditional knowledge.</w:t>
      </w:r>
    </w:p>
    <w:p w14:paraId="0E781423" w14:textId="6CDE0A75" w:rsidR="0038613F" w:rsidRPr="000346A8"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0346A8">
        <w:rPr>
          <w:rFonts w:eastAsia="Malgun Gothic"/>
          <w:kern w:val="22"/>
          <w:szCs w:val="22"/>
          <w:lang w:eastAsia="x-none"/>
        </w:rPr>
        <w:t>12.</w:t>
      </w:r>
      <w:r w:rsidRPr="000346A8">
        <w:rPr>
          <w:rFonts w:eastAsia="Malgun Gothic"/>
          <w:kern w:val="22"/>
          <w:szCs w:val="22"/>
          <w:lang w:eastAsia="x-none"/>
        </w:rPr>
        <w:tab/>
        <w:t>In addition, in the development and implementation of ABS legislation or regulatory requirements it is important that Parties take into account special considerations in accordance with Article 8 of the Protocol. Relevant work undertaken under the Food and Agriculture Organization of the United Nations,</w:t>
      </w:r>
      <w:r w:rsidRPr="000346A8">
        <w:rPr>
          <w:rFonts w:eastAsia="Calibri"/>
          <w:kern w:val="22"/>
          <w:szCs w:val="22"/>
          <w:vertAlign w:val="superscript"/>
          <w:lang w:eastAsia="x-none"/>
        </w:rPr>
        <w:footnoteReference w:id="5"/>
      </w:r>
      <w:r w:rsidR="006419BE">
        <w:rPr>
          <w:rFonts w:eastAsia="Malgun Gothic"/>
          <w:kern w:val="22"/>
          <w:szCs w:val="22"/>
          <w:lang w:eastAsia="x-none"/>
        </w:rPr>
        <w:t xml:space="preserve"> </w:t>
      </w:r>
      <w:r w:rsidRPr="000346A8">
        <w:rPr>
          <w:rFonts w:eastAsia="Malgun Gothic"/>
          <w:kern w:val="22"/>
          <w:szCs w:val="22"/>
          <w:lang w:eastAsia="x-none"/>
        </w:rPr>
        <w:t>the World Health Organization and other organizations may be useful in this regard.</w:t>
      </w:r>
    </w:p>
    <w:p w14:paraId="2FA92E66" w14:textId="77777777" w:rsidR="0038613F" w:rsidRPr="00C649EC"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13.</w:t>
      </w:r>
      <w:r w:rsidRPr="00A1040E">
        <w:rPr>
          <w:rFonts w:eastAsia="Malgun Gothic"/>
          <w:kern w:val="22"/>
          <w:szCs w:val="22"/>
          <w:lang w:eastAsia="x-none"/>
        </w:rPr>
        <w:tab/>
        <w:t>The importance of sharing information and experience in relation to transboundary cooperation (Article 11) was highlighted. In particular, experiences acquired in subregional and bilateral projects could be relevant to assist in the implementation of this article. Regional structures or projects were identified</w:t>
      </w:r>
      <w:r w:rsidRPr="008964A8">
        <w:rPr>
          <w:rFonts w:eastAsia="Malgun Gothic"/>
          <w:kern w:val="22"/>
          <w:szCs w:val="22"/>
          <w:lang w:eastAsia="x-none"/>
        </w:rPr>
        <w:t xml:space="preserve"> by some as a way to address this i</w:t>
      </w:r>
      <w:r w:rsidRPr="00C649EC">
        <w:rPr>
          <w:rFonts w:eastAsia="Malgun Gothic"/>
          <w:kern w:val="22"/>
          <w:szCs w:val="22"/>
          <w:lang w:eastAsia="x-none"/>
        </w:rPr>
        <w:t>ssue, while noting that reinforcement of the capacity of regional structures to play that role would be needed.</w:t>
      </w:r>
    </w:p>
    <w:p w14:paraId="0865D4ED" w14:textId="77777777" w:rsidR="0038613F" w:rsidRPr="00B31519"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57937">
        <w:rPr>
          <w:rFonts w:eastAsia="Malgun Gothic"/>
          <w:kern w:val="22"/>
          <w:szCs w:val="22"/>
          <w:lang w:eastAsia="x-none"/>
        </w:rPr>
        <w:t>14.</w:t>
      </w:r>
      <w:r w:rsidRPr="00A57937">
        <w:rPr>
          <w:rFonts w:eastAsia="Malgun Gothic"/>
          <w:kern w:val="22"/>
          <w:szCs w:val="22"/>
          <w:lang w:eastAsia="x-none"/>
        </w:rPr>
        <w:tab/>
        <w:t>Capacity-building could also support harmonized implementation of the Protocol among countries that share the same genetic resources or trad</w:t>
      </w:r>
      <w:r w:rsidRPr="00B31519">
        <w:rPr>
          <w:rFonts w:eastAsia="Malgun Gothic"/>
          <w:kern w:val="22"/>
          <w:szCs w:val="22"/>
          <w:lang w:eastAsia="x-none"/>
        </w:rPr>
        <w:t>itional knowledge associated with genetic resources.</w:t>
      </w:r>
    </w:p>
    <w:p w14:paraId="45A641B8" w14:textId="77777777" w:rsidR="0038613F" w:rsidRPr="00A1040E" w:rsidRDefault="0038613F" w:rsidP="000346A8">
      <w:pPr>
        <w:keepNext/>
        <w:suppressLineNumbers/>
        <w:suppressAutoHyphens/>
        <w:kinsoku w:val="0"/>
        <w:overflowPunct w:val="0"/>
        <w:autoSpaceDE w:val="0"/>
        <w:autoSpaceDN w:val="0"/>
        <w:adjustRightInd w:val="0"/>
        <w:snapToGrid w:val="0"/>
        <w:jc w:val="left"/>
        <w:rPr>
          <w:rFonts w:eastAsia="Malgun Gothic"/>
          <w:b/>
          <w:kern w:val="22"/>
          <w:szCs w:val="22"/>
        </w:rPr>
      </w:pPr>
      <w:r w:rsidRPr="00A1040E">
        <w:rPr>
          <w:rFonts w:eastAsia="Malgun Gothic"/>
          <w:b/>
          <w:kern w:val="22"/>
          <w:szCs w:val="22"/>
        </w:rPr>
        <w:t>Element (b) Establishment of a reference point to measure effectiveness</w:t>
      </w:r>
    </w:p>
    <w:p w14:paraId="1633FD79"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15.</w:t>
      </w:r>
      <w:r w:rsidRPr="00A1040E">
        <w:rPr>
          <w:rFonts w:eastAsia="Malgun Gothic"/>
          <w:kern w:val="22"/>
          <w:szCs w:val="22"/>
          <w:lang w:eastAsia="x-none"/>
        </w:rPr>
        <w:tab/>
        <w:t>Some Parties reported on having received benefits received from the utilization of genetic resources and associated traditional knowledge.</w:t>
      </w:r>
    </w:p>
    <w:p w14:paraId="638FC553"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lastRenderedPageBreak/>
        <w:t>16.</w:t>
      </w:r>
      <w:r w:rsidRPr="00A1040E">
        <w:rPr>
          <w:rFonts w:eastAsia="Malgun Gothic"/>
          <w:kern w:val="22"/>
          <w:szCs w:val="22"/>
          <w:lang w:eastAsia="x-none"/>
        </w:rPr>
        <w:tab/>
        <w:t>With regard to how the implementation of the Nagoya Protocol contributed to conservation and sustainable use of biodiversity in their country, many considered that it was premature to answer this question as implementation of the Nagoya Protocol was at an early stage.</w:t>
      </w:r>
    </w:p>
    <w:p w14:paraId="1D91EE1A"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17.</w:t>
      </w:r>
      <w:r w:rsidRPr="00A1040E">
        <w:rPr>
          <w:rFonts w:eastAsia="Malgun Gothic"/>
          <w:kern w:val="22"/>
          <w:szCs w:val="22"/>
          <w:lang w:eastAsia="x-none"/>
        </w:rPr>
        <w:tab/>
        <w:t>The most common contribution reported is an increase of awareness of the value of conservation and sustainable use of biodiversity and ecosystem services. Examples of other contributions highlighted by countries are the following:</w:t>
      </w:r>
    </w:p>
    <w:p w14:paraId="026812F9" w14:textId="77777777" w:rsidR="0038613F" w:rsidRPr="00A1040E" w:rsidRDefault="0038613F" w:rsidP="000346A8">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ind w:firstLine="720"/>
        <w:rPr>
          <w:rFonts w:eastAsia="Calibri"/>
          <w:kern w:val="22"/>
          <w:szCs w:val="22"/>
          <w:u w:color="000000"/>
        </w:rPr>
      </w:pPr>
      <w:r w:rsidRPr="00A1040E">
        <w:rPr>
          <w:rFonts w:eastAsia="Calibri"/>
          <w:kern w:val="22"/>
          <w:szCs w:val="22"/>
          <w:u w:color="000000"/>
        </w:rPr>
        <w:t>(a)</w:t>
      </w:r>
      <w:r w:rsidRPr="00A1040E">
        <w:rPr>
          <w:rFonts w:eastAsia="Calibri"/>
          <w:kern w:val="22"/>
          <w:szCs w:val="22"/>
          <w:u w:color="000000"/>
        </w:rPr>
        <w:tab/>
      </w:r>
      <w:r w:rsidRPr="00A1040E">
        <w:rPr>
          <w:rFonts w:eastAsia="Malgun Gothic"/>
          <w:kern w:val="22"/>
          <w:szCs w:val="22"/>
        </w:rPr>
        <w:t>M</w:t>
      </w:r>
      <w:r w:rsidRPr="00A1040E">
        <w:rPr>
          <w:rFonts w:eastAsia="Calibri"/>
          <w:kern w:val="22"/>
          <w:szCs w:val="22"/>
          <w:u w:color="000000"/>
        </w:rPr>
        <w:t>anagers of natural resources or authorities are more aware of the potential advantages of the Nagoya Protocol and are developing conservation practices;</w:t>
      </w:r>
    </w:p>
    <w:p w14:paraId="6DAC7E6C" w14:textId="1D441CC6" w:rsidR="0038613F" w:rsidRPr="00A1040E" w:rsidRDefault="0038613F" w:rsidP="000346A8">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ind w:firstLine="720"/>
        <w:rPr>
          <w:rFonts w:eastAsia="Calibri"/>
          <w:kern w:val="22"/>
          <w:szCs w:val="22"/>
          <w:u w:color="000000"/>
        </w:rPr>
      </w:pPr>
      <w:r w:rsidRPr="00A1040E">
        <w:rPr>
          <w:rFonts w:eastAsia="Calibri"/>
          <w:kern w:val="22"/>
          <w:szCs w:val="22"/>
          <w:u w:color="000000"/>
        </w:rPr>
        <w:t>(b)</w:t>
      </w:r>
      <w:r w:rsidRPr="00A1040E">
        <w:rPr>
          <w:rFonts w:eastAsia="Calibri"/>
          <w:kern w:val="22"/>
          <w:szCs w:val="22"/>
          <w:u w:color="000000"/>
        </w:rPr>
        <w:tab/>
        <w:t>Implementing the Nagoya Protocol helped improving the knowledge about species, including through the development of databases or inventories and their population, and supports the valori</w:t>
      </w:r>
      <w:r w:rsidR="00CB0849">
        <w:rPr>
          <w:rFonts w:eastAsia="Calibri"/>
          <w:kern w:val="22"/>
          <w:szCs w:val="22"/>
          <w:u w:color="000000"/>
        </w:rPr>
        <w:t>z</w:t>
      </w:r>
      <w:r w:rsidRPr="00A1040E">
        <w:rPr>
          <w:rFonts w:eastAsia="Calibri"/>
          <w:kern w:val="22"/>
          <w:szCs w:val="22"/>
          <w:u w:color="000000"/>
        </w:rPr>
        <w:t>ation of genetic resources and special conservation approaches;</w:t>
      </w:r>
    </w:p>
    <w:p w14:paraId="0D7AD646" w14:textId="77777777" w:rsidR="0038613F" w:rsidRPr="00A1040E" w:rsidRDefault="0038613F" w:rsidP="000346A8">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ind w:firstLine="720"/>
        <w:rPr>
          <w:rFonts w:eastAsia="Calibri"/>
          <w:kern w:val="22"/>
          <w:szCs w:val="22"/>
          <w:u w:color="000000"/>
        </w:rPr>
      </w:pPr>
      <w:r w:rsidRPr="00A1040E">
        <w:rPr>
          <w:rFonts w:eastAsia="Calibri"/>
          <w:kern w:val="22"/>
          <w:szCs w:val="22"/>
          <w:u w:color="000000"/>
        </w:rPr>
        <w:t>(c)</w:t>
      </w:r>
      <w:r w:rsidRPr="00A1040E">
        <w:rPr>
          <w:rFonts w:eastAsia="Calibri"/>
          <w:kern w:val="22"/>
          <w:szCs w:val="22"/>
          <w:u w:color="000000"/>
        </w:rPr>
        <w:tab/>
        <w:t>Increased involvement of communities in conservation and sustainable use;</w:t>
      </w:r>
    </w:p>
    <w:p w14:paraId="3C7AE82A" w14:textId="77777777" w:rsidR="0038613F" w:rsidRPr="00A1040E" w:rsidRDefault="0038613F" w:rsidP="000346A8">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ind w:firstLine="720"/>
        <w:rPr>
          <w:rFonts w:eastAsia="Calibri"/>
          <w:kern w:val="22"/>
          <w:szCs w:val="22"/>
          <w:u w:color="000000"/>
        </w:rPr>
      </w:pPr>
      <w:r w:rsidRPr="00A1040E">
        <w:rPr>
          <w:rFonts w:eastAsia="Calibri"/>
          <w:kern w:val="22"/>
          <w:szCs w:val="22"/>
          <w:u w:color="000000"/>
        </w:rPr>
        <w:t>(d)</w:t>
      </w:r>
      <w:r w:rsidRPr="00A1040E">
        <w:rPr>
          <w:rFonts w:eastAsia="Calibri"/>
          <w:kern w:val="22"/>
          <w:szCs w:val="22"/>
          <w:u w:color="000000"/>
        </w:rPr>
        <w:tab/>
        <w:t>Increased compliance by users of genetic resources;</w:t>
      </w:r>
    </w:p>
    <w:p w14:paraId="52295797" w14:textId="77777777" w:rsidR="0038613F" w:rsidRPr="000346A8" w:rsidRDefault="0038613F" w:rsidP="000346A8">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ind w:firstLine="720"/>
        <w:rPr>
          <w:rFonts w:eastAsia="Calibri"/>
          <w:kern w:val="22"/>
          <w:szCs w:val="22"/>
          <w:u w:color="000000"/>
        </w:rPr>
      </w:pPr>
      <w:r w:rsidRPr="000346A8">
        <w:rPr>
          <w:rFonts w:eastAsia="Calibri"/>
          <w:kern w:val="22"/>
          <w:szCs w:val="22"/>
          <w:u w:color="000000"/>
        </w:rPr>
        <w:t>(e)</w:t>
      </w:r>
      <w:r w:rsidRPr="000346A8">
        <w:rPr>
          <w:rFonts w:eastAsia="Calibri"/>
          <w:kern w:val="22"/>
          <w:szCs w:val="22"/>
          <w:u w:color="000000"/>
        </w:rPr>
        <w:tab/>
        <w:t>Recognition of research and development as a key to the country’s valorization of genetic resources;</w:t>
      </w:r>
    </w:p>
    <w:p w14:paraId="17122EE0" w14:textId="6AC6A631" w:rsidR="0038613F" w:rsidRPr="00B244C1" w:rsidRDefault="0038613F" w:rsidP="000346A8">
      <w:pPr>
        <w:suppressLineNumbers/>
        <w:pBdr>
          <w:top w:val="nil"/>
          <w:left w:val="nil"/>
          <w:bottom w:val="nil"/>
          <w:right w:val="nil"/>
          <w:between w:val="nil"/>
          <w:bar w:val="nil"/>
        </w:pBdr>
        <w:suppressAutoHyphens/>
        <w:kinsoku w:val="0"/>
        <w:overflowPunct w:val="0"/>
        <w:autoSpaceDE w:val="0"/>
        <w:autoSpaceDN w:val="0"/>
        <w:adjustRightInd w:val="0"/>
        <w:snapToGrid w:val="0"/>
        <w:spacing w:before="120" w:after="120"/>
        <w:ind w:firstLine="720"/>
        <w:rPr>
          <w:rFonts w:eastAsia="Calibri"/>
          <w:kern w:val="22"/>
          <w:szCs w:val="22"/>
          <w:u w:color="000000"/>
        </w:rPr>
      </w:pPr>
      <w:r w:rsidRPr="000F083F">
        <w:rPr>
          <w:rFonts w:eastAsia="Calibri"/>
          <w:kern w:val="22"/>
          <w:szCs w:val="22"/>
          <w:u w:color="000000"/>
        </w:rPr>
        <w:t>(f)</w:t>
      </w:r>
      <w:r w:rsidRPr="000F083F">
        <w:rPr>
          <w:rFonts w:eastAsia="Calibri"/>
          <w:kern w:val="22"/>
          <w:szCs w:val="22"/>
          <w:u w:color="000000"/>
        </w:rPr>
        <w:tab/>
        <w:t>Implementing the Protocol played a key role in factoring elements of biodiversity conservation and use in government development agenda</w:t>
      </w:r>
      <w:r w:rsidR="001A21A8" w:rsidRPr="000F083F">
        <w:rPr>
          <w:rFonts w:eastAsia="Calibri"/>
          <w:kern w:val="22"/>
          <w:szCs w:val="22"/>
          <w:u w:color="000000"/>
        </w:rPr>
        <w:t>,</w:t>
      </w:r>
      <w:r w:rsidRPr="000F083F">
        <w:rPr>
          <w:rFonts w:eastAsia="Calibri"/>
          <w:kern w:val="22"/>
          <w:szCs w:val="22"/>
          <w:u w:color="000000"/>
        </w:rPr>
        <w:t xml:space="preserve"> including </w:t>
      </w:r>
      <w:r w:rsidR="003807D2" w:rsidRPr="000F083F">
        <w:rPr>
          <w:rFonts w:eastAsia="Calibri"/>
          <w:kern w:val="22"/>
          <w:szCs w:val="22"/>
          <w:u w:color="000000"/>
        </w:rPr>
        <w:t>the</w:t>
      </w:r>
      <w:r w:rsidRPr="000F083F">
        <w:rPr>
          <w:rFonts w:eastAsia="Calibri"/>
          <w:kern w:val="22"/>
          <w:szCs w:val="22"/>
          <w:u w:color="000000"/>
        </w:rPr>
        <w:t xml:space="preserve"> 2030 </w:t>
      </w:r>
      <w:r w:rsidR="00B24894" w:rsidRPr="000F083F">
        <w:rPr>
          <w:rFonts w:eastAsia="Calibri"/>
          <w:kern w:val="22"/>
          <w:szCs w:val="22"/>
          <w:u w:color="000000"/>
        </w:rPr>
        <w:t>Agenda</w:t>
      </w:r>
      <w:r w:rsidRPr="000F083F">
        <w:rPr>
          <w:rFonts w:eastAsia="Calibri"/>
          <w:kern w:val="22"/>
          <w:szCs w:val="22"/>
          <w:u w:color="000000"/>
        </w:rPr>
        <w:t>.</w:t>
      </w:r>
    </w:p>
    <w:p w14:paraId="2F9CF3E2" w14:textId="77777777" w:rsidR="0038613F" w:rsidRPr="00C649EC" w:rsidRDefault="0038613F" w:rsidP="000346A8">
      <w:pPr>
        <w:keepNext/>
        <w:suppressLineNumbers/>
        <w:suppressAutoHyphens/>
        <w:kinsoku w:val="0"/>
        <w:overflowPunct w:val="0"/>
        <w:autoSpaceDE w:val="0"/>
        <w:autoSpaceDN w:val="0"/>
        <w:adjustRightInd w:val="0"/>
        <w:snapToGrid w:val="0"/>
        <w:jc w:val="left"/>
        <w:rPr>
          <w:rFonts w:eastAsia="Calibri"/>
          <w:b/>
          <w:color w:val="000000"/>
          <w:kern w:val="22"/>
          <w:szCs w:val="22"/>
          <w:u w:color="000000"/>
        </w:rPr>
      </w:pPr>
      <w:r w:rsidRPr="00C649EC">
        <w:rPr>
          <w:rFonts w:eastAsia="Calibri"/>
          <w:b/>
          <w:color w:val="000000"/>
          <w:kern w:val="22"/>
          <w:szCs w:val="22"/>
          <w:u w:color="000000"/>
        </w:rPr>
        <w:t>Element (c): Establishment of a reference point on support available for implementation</w:t>
      </w:r>
    </w:p>
    <w:p w14:paraId="3344FAE5"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57937">
        <w:rPr>
          <w:rFonts w:eastAsia="Malgun Gothic"/>
          <w:kern w:val="22"/>
          <w:szCs w:val="22"/>
          <w:lang w:eastAsia="x-none"/>
        </w:rPr>
        <w:t>18.</w:t>
      </w:r>
      <w:r w:rsidRPr="00A57937">
        <w:rPr>
          <w:rFonts w:eastAsia="Malgun Gothic"/>
          <w:kern w:val="22"/>
          <w:szCs w:val="22"/>
          <w:lang w:eastAsia="x-none"/>
        </w:rPr>
        <w:tab/>
        <w:t>Although a number of capacity-building and development initiatives are currently supporting ratification a</w:t>
      </w:r>
      <w:r w:rsidRPr="00B31519">
        <w:rPr>
          <w:rFonts w:eastAsia="Malgun Gothic"/>
          <w:kern w:val="22"/>
          <w:szCs w:val="22"/>
          <w:lang w:eastAsia="x-none"/>
        </w:rPr>
        <w:t>nd implementation of the Nagoya Protocol, many Parties still lack the necessary capacity and financial resources to make the Protocol operational. Capacity-building and development support therefore continue to be essential in order to make progress in the</w:t>
      </w:r>
      <w:r w:rsidRPr="00A1040E">
        <w:rPr>
          <w:rFonts w:eastAsia="Malgun Gothic"/>
          <w:kern w:val="22"/>
          <w:szCs w:val="22"/>
          <w:lang w:eastAsia="x-none"/>
        </w:rPr>
        <w:t xml:space="preserve"> implementation of the Protocol, in particular for developing country Parties and Parties with economies in transition.</w:t>
      </w:r>
    </w:p>
    <w:p w14:paraId="7859FC34"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19.</w:t>
      </w:r>
      <w:r w:rsidRPr="00A1040E">
        <w:rPr>
          <w:rFonts w:eastAsia="Malgun Gothic"/>
          <w:kern w:val="22"/>
          <w:szCs w:val="22"/>
          <w:lang w:eastAsia="x-none"/>
        </w:rPr>
        <w:tab/>
        <w:t>The wealth of information and experiences available in the national reports and in the ABS Clearing-House, as well as the exchange of experiences, may be useful to Parties in the establishment of institutional structures and the development of ABS measures. This information could also be taken into account in capacity-building projects. In addition, the use of existing tools and resources (e.g. guidelines, capacity-building materials) to support implementation could be encouraged.</w:t>
      </w:r>
    </w:p>
    <w:p w14:paraId="2F2D4F01" w14:textId="77777777" w:rsidR="0038613F" w:rsidRPr="00A1040E" w:rsidRDefault="0038613F" w:rsidP="000346A8">
      <w:pPr>
        <w:keepNext/>
        <w:suppressLineNumbers/>
        <w:suppressAutoHyphens/>
        <w:kinsoku w:val="0"/>
        <w:overflowPunct w:val="0"/>
        <w:autoSpaceDE w:val="0"/>
        <w:autoSpaceDN w:val="0"/>
        <w:adjustRightInd w:val="0"/>
        <w:snapToGrid w:val="0"/>
        <w:jc w:val="left"/>
        <w:rPr>
          <w:rFonts w:eastAsia="Calibri"/>
          <w:b/>
          <w:color w:val="000000"/>
          <w:kern w:val="22"/>
          <w:szCs w:val="22"/>
          <w:u w:color="000000"/>
        </w:rPr>
      </w:pPr>
      <w:r w:rsidRPr="00A1040E">
        <w:rPr>
          <w:rFonts w:eastAsia="Calibri"/>
          <w:b/>
          <w:color w:val="000000"/>
          <w:kern w:val="22"/>
          <w:szCs w:val="22"/>
          <w:u w:color="000000"/>
        </w:rPr>
        <w:t>Element (d): Assessment of effectiveness of Article 18 (extent of implementation)</w:t>
      </w:r>
    </w:p>
    <w:p w14:paraId="783C936E"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20.</w:t>
      </w:r>
      <w:r w:rsidRPr="00A1040E">
        <w:rPr>
          <w:rFonts w:eastAsia="Malgun Gothic"/>
          <w:kern w:val="22"/>
          <w:szCs w:val="22"/>
          <w:lang w:eastAsia="x-none"/>
        </w:rPr>
        <w:tab/>
        <w:t>The provisions of Article 18 on compliance with mutually agreed terms are often implemented at the national level through existing laws (e.g. contractual law, private international law, domestic measures related to access to justice) rather than through specific ABS measures.</w:t>
      </w:r>
    </w:p>
    <w:p w14:paraId="46F0DA66"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21.</w:t>
      </w:r>
      <w:r w:rsidRPr="00A1040E">
        <w:rPr>
          <w:rFonts w:eastAsia="Malgun Gothic"/>
          <w:kern w:val="22"/>
          <w:szCs w:val="22"/>
          <w:lang w:eastAsia="x-none"/>
        </w:rPr>
        <w:tab/>
        <w:t>When one party of a contract resides in a foreign country, the contractual relationship falls in the domain of private international law. Private international law seeks to regulate, first, which jurisdiction applies to a dispute; second, which law applies to the dispute; and third, whether and how eventual decisions or judgments are recognized and may be enforced in another jurisdiction. Each State has its own national rules on these matters, but some of these may have been harmonized through international agreements, guidelines, and model laws.</w:t>
      </w:r>
    </w:p>
    <w:p w14:paraId="20F74336"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22.</w:t>
      </w:r>
      <w:r w:rsidRPr="00A1040E">
        <w:rPr>
          <w:rFonts w:eastAsia="Malgun Gothic"/>
          <w:kern w:val="22"/>
          <w:szCs w:val="22"/>
          <w:lang w:eastAsia="x-none"/>
        </w:rPr>
        <w:tab/>
        <w:t>Those developing ABS measures and/or implementing the Protocol may not be aware of all applicable legislation dealing with contractual law, private international law, domestic measures related to access to justice. A mechanism to support national coordination could assist in drawing from the expertise of other institutions dealing with these issues.</w:t>
      </w:r>
    </w:p>
    <w:p w14:paraId="48DA4562"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23.</w:t>
      </w:r>
      <w:r w:rsidRPr="00A1040E">
        <w:rPr>
          <w:rFonts w:eastAsia="Malgun Gothic"/>
          <w:kern w:val="22"/>
          <w:szCs w:val="22"/>
          <w:lang w:eastAsia="x-none"/>
        </w:rPr>
        <w:tab/>
        <w:t>Information contained in the interim national report, as well as the exchange of experiences may be useful for Parties to understand how the implementation of Article 18 can be supported.</w:t>
      </w:r>
    </w:p>
    <w:p w14:paraId="78A4A77A" w14:textId="77777777" w:rsidR="0038613F" w:rsidRPr="00A1040E" w:rsidRDefault="0038613F" w:rsidP="000346A8">
      <w:pPr>
        <w:keepNext/>
        <w:suppressLineNumbers/>
        <w:suppressAutoHyphens/>
        <w:kinsoku w:val="0"/>
        <w:overflowPunct w:val="0"/>
        <w:autoSpaceDE w:val="0"/>
        <w:autoSpaceDN w:val="0"/>
        <w:adjustRightInd w:val="0"/>
        <w:snapToGrid w:val="0"/>
        <w:ind w:left="1267" w:hanging="1267"/>
        <w:rPr>
          <w:rFonts w:eastAsia="Calibri"/>
          <w:b/>
          <w:color w:val="000000"/>
          <w:kern w:val="22"/>
          <w:szCs w:val="22"/>
          <w:u w:color="000000"/>
        </w:rPr>
      </w:pPr>
      <w:r w:rsidRPr="00A1040E">
        <w:rPr>
          <w:rFonts w:eastAsia="Calibri"/>
          <w:b/>
          <w:color w:val="000000"/>
          <w:kern w:val="22"/>
          <w:szCs w:val="22"/>
          <w:u w:color="000000"/>
        </w:rPr>
        <w:t>Element (e):</w:t>
      </w:r>
      <w:r w:rsidRPr="00A1040E">
        <w:rPr>
          <w:rFonts w:eastAsia="Calibri"/>
          <w:b/>
          <w:color w:val="000000"/>
          <w:kern w:val="22"/>
          <w:szCs w:val="22"/>
          <w:u w:color="000000"/>
        </w:rPr>
        <w:tab/>
      </w:r>
      <w:r w:rsidRPr="00A1040E">
        <w:rPr>
          <w:rFonts w:eastAsia="Calibri"/>
          <w:b/>
          <w:kern w:val="22"/>
          <w:szCs w:val="22"/>
        </w:rPr>
        <w:t>Assessment of implementation of Article 16 in light of developments in other relevant international organizations, including, inter alia, the World Intellectual Property Organization</w:t>
      </w:r>
    </w:p>
    <w:p w14:paraId="5FB9DC38"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24.</w:t>
      </w:r>
      <w:r w:rsidRPr="00A1040E">
        <w:rPr>
          <w:rFonts w:eastAsia="Malgun Gothic"/>
          <w:kern w:val="22"/>
          <w:szCs w:val="22"/>
          <w:lang w:eastAsia="x-none"/>
        </w:rPr>
        <w:tab/>
        <w:t>Many Parties are still in the process of establishing ABS measures and institutions arrangements to implement the Protocol. Implementation of the provisions on compliance and the obligations related to indigenous peoples and local communities are particularly challenging for Parties.</w:t>
      </w:r>
    </w:p>
    <w:p w14:paraId="78423592" w14:textId="0C0729AB" w:rsidR="0038613F" w:rsidRPr="00A1040E" w:rsidRDefault="0038613F" w:rsidP="000346A8">
      <w:pPr>
        <w:suppressLineNumbers/>
        <w:suppressAutoHyphens/>
        <w:kinsoku w:val="0"/>
        <w:overflowPunct w:val="0"/>
        <w:autoSpaceDE w:val="0"/>
        <w:autoSpaceDN w:val="0"/>
        <w:adjustRightInd w:val="0"/>
        <w:snapToGrid w:val="0"/>
        <w:rPr>
          <w:rFonts w:eastAsia="Malgun Gothic"/>
          <w:kern w:val="22"/>
          <w:szCs w:val="22"/>
        </w:rPr>
      </w:pPr>
      <w:r w:rsidRPr="00A1040E">
        <w:rPr>
          <w:rFonts w:eastAsia="Malgun Gothic"/>
          <w:kern w:val="22"/>
          <w:szCs w:val="22"/>
        </w:rPr>
        <w:t>25.</w:t>
      </w:r>
      <w:r w:rsidRPr="00A1040E">
        <w:rPr>
          <w:rFonts w:eastAsia="Malgun Gothic"/>
          <w:kern w:val="22"/>
          <w:szCs w:val="22"/>
        </w:rPr>
        <w:tab/>
        <w:t>The work on one or more international legal instrument(s) relating to intellectual property with a view to ensuring the balanced and effective protection of genetic resources, traditional knowledge and traditional cultural expressions under</w:t>
      </w:r>
      <w:r w:rsidR="004B5330" w:rsidRPr="004B5330">
        <w:t xml:space="preserve"> </w:t>
      </w:r>
      <w:r w:rsidR="004B5330" w:rsidRPr="004B5330">
        <w:rPr>
          <w:rFonts w:eastAsia="Malgun Gothic"/>
          <w:kern w:val="22"/>
          <w:szCs w:val="22"/>
        </w:rPr>
        <w:t>the World Intellectual Property Organization</w:t>
      </w:r>
      <w:r w:rsidRPr="00A1040E">
        <w:rPr>
          <w:rFonts w:eastAsia="Malgun Gothic"/>
          <w:kern w:val="22"/>
          <w:szCs w:val="22"/>
        </w:rPr>
        <w:t xml:space="preserve"> </w:t>
      </w:r>
      <w:r w:rsidR="004B5330">
        <w:rPr>
          <w:rFonts w:eastAsia="Malgun Gothic"/>
          <w:kern w:val="22"/>
          <w:szCs w:val="22"/>
        </w:rPr>
        <w:t>(</w:t>
      </w:r>
      <w:r w:rsidRPr="00A1040E">
        <w:rPr>
          <w:rFonts w:eastAsia="Malgun Gothic"/>
          <w:kern w:val="22"/>
          <w:szCs w:val="22"/>
        </w:rPr>
        <w:t>WIPO</w:t>
      </w:r>
      <w:r w:rsidR="004B5330">
        <w:rPr>
          <w:rFonts w:eastAsia="Malgun Gothic"/>
          <w:kern w:val="22"/>
          <w:szCs w:val="22"/>
        </w:rPr>
        <w:t>)</w:t>
      </w:r>
      <w:r w:rsidRPr="00A1040E">
        <w:rPr>
          <w:rFonts w:eastAsia="Malgun Gothic"/>
          <w:kern w:val="22"/>
          <w:szCs w:val="22"/>
        </w:rPr>
        <w:t xml:space="preserve"> is still on going, and it is premature to assess how the outcomes of this process could contribute to implementation of the Nagoya Protocol.</w:t>
      </w:r>
    </w:p>
    <w:p w14:paraId="1F0E0B17"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26.</w:t>
      </w:r>
      <w:r w:rsidRPr="00A1040E">
        <w:rPr>
          <w:rFonts w:eastAsia="Malgun Gothic"/>
          <w:kern w:val="22"/>
          <w:szCs w:val="22"/>
          <w:lang w:eastAsia="x-none"/>
        </w:rPr>
        <w:tab/>
        <w:t>However, there are a number of existing tools and resources that could be used by Parties in advancing the implementation of Article 16 of the Nagoya Protocol, including those developed by WIPO and the CBD Mo’otz Kuxtal voluntary guidelines.</w:t>
      </w:r>
      <w:r w:rsidRPr="00A1040E">
        <w:rPr>
          <w:rFonts w:eastAsia="Malgun Gothic"/>
          <w:kern w:val="22"/>
          <w:szCs w:val="22"/>
          <w:vertAlign w:val="superscript"/>
          <w:lang w:eastAsia="x-none"/>
        </w:rPr>
        <w:footnoteReference w:id="6"/>
      </w:r>
    </w:p>
    <w:p w14:paraId="78CC3E4E" w14:textId="77777777" w:rsidR="0038613F" w:rsidRPr="00C649EC" w:rsidRDefault="0038613F" w:rsidP="000346A8">
      <w:pPr>
        <w:keepNext/>
        <w:suppressLineNumbers/>
        <w:suppressAutoHyphens/>
        <w:kinsoku w:val="0"/>
        <w:overflowPunct w:val="0"/>
        <w:autoSpaceDE w:val="0"/>
        <w:autoSpaceDN w:val="0"/>
        <w:adjustRightInd w:val="0"/>
        <w:snapToGrid w:val="0"/>
        <w:ind w:left="1267" w:hanging="1267"/>
        <w:rPr>
          <w:rFonts w:eastAsia="Calibri"/>
          <w:b/>
          <w:color w:val="000000"/>
          <w:kern w:val="22"/>
          <w:szCs w:val="22"/>
          <w:u w:color="000000"/>
        </w:rPr>
      </w:pPr>
      <w:r w:rsidRPr="008964A8">
        <w:rPr>
          <w:rFonts w:eastAsia="Calibri"/>
          <w:b/>
          <w:color w:val="000000"/>
          <w:kern w:val="22"/>
          <w:szCs w:val="22"/>
          <w:u w:color="000000"/>
        </w:rPr>
        <w:t>Element (f):</w:t>
      </w:r>
      <w:r w:rsidRPr="008964A8">
        <w:rPr>
          <w:rFonts w:eastAsia="Calibri"/>
          <w:b/>
          <w:color w:val="000000"/>
          <w:kern w:val="22"/>
          <w:szCs w:val="22"/>
          <w:u w:color="000000"/>
        </w:rPr>
        <w:tab/>
        <w:t>Stock-taking of the use of model contractual clauses, codes of conduct, guidelines, best practices and standards a</w:t>
      </w:r>
      <w:r w:rsidRPr="00C649EC">
        <w:rPr>
          <w:rFonts w:eastAsia="Calibri"/>
          <w:b/>
          <w:color w:val="000000"/>
          <w:kern w:val="22"/>
          <w:szCs w:val="22"/>
          <w:u w:color="000000"/>
        </w:rPr>
        <w:t>s well as indigenous peoples and local communities’ customary laws, community protocols and procedures</w:t>
      </w:r>
    </w:p>
    <w:p w14:paraId="4E7F2514" w14:textId="77777777" w:rsidR="0038613F" w:rsidRPr="00B31519"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57937">
        <w:rPr>
          <w:rFonts w:eastAsia="Malgun Gothic"/>
          <w:kern w:val="22"/>
          <w:szCs w:val="22"/>
          <w:lang w:eastAsia="x-none"/>
        </w:rPr>
        <w:t>27.</w:t>
      </w:r>
      <w:r w:rsidRPr="00A57937">
        <w:rPr>
          <w:rFonts w:eastAsia="Malgun Gothic"/>
          <w:kern w:val="22"/>
          <w:szCs w:val="22"/>
          <w:lang w:eastAsia="x-none"/>
        </w:rPr>
        <w:tab/>
        <w:t>A wide range of model contractual clauses, codes of conduct, guidelines, best practices and standards have been developed both by Governments and org</w:t>
      </w:r>
      <w:r w:rsidRPr="00B31519">
        <w:rPr>
          <w:rFonts w:eastAsia="Malgun Gothic"/>
          <w:kern w:val="22"/>
          <w:szCs w:val="22"/>
          <w:lang w:eastAsia="x-none"/>
        </w:rPr>
        <w:t>anizations. However, there is less information on how these tools are being used. It is unclear how the use of the tools could be measured.</w:t>
      </w:r>
    </w:p>
    <w:p w14:paraId="7EBE5C15" w14:textId="61E29D4F" w:rsidR="0038613F" w:rsidRPr="001A2659"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28.</w:t>
      </w:r>
      <w:r w:rsidRPr="00A1040E">
        <w:rPr>
          <w:rFonts w:eastAsia="Malgun Gothic"/>
          <w:kern w:val="22"/>
          <w:szCs w:val="22"/>
          <w:lang w:eastAsia="x-none"/>
        </w:rPr>
        <w:tab/>
        <w:t xml:space="preserve">User organizations and networks play an important role in addressing the needs of their members by developing tools that can bring clarity on how ABS can be incorporated in their practice and assisting their member organizations </w:t>
      </w:r>
      <w:r w:rsidR="00EF3314">
        <w:rPr>
          <w:rFonts w:eastAsia="Malgun Gothic"/>
          <w:kern w:val="22"/>
          <w:szCs w:val="22"/>
          <w:lang w:eastAsia="x-none"/>
        </w:rPr>
        <w:t>in</w:t>
      </w:r>
      <w:r w:rsidR="00EF3314" w:rsidRPr="00A1040E">
        <w:rPr>
          <w:rFonts w:eastAsia="Malgun Gothic"/>
          <w:kern w:val="22"/>
          <w:szCs w:val="22"/>
          <w:lang w:eastAsia="x-none"/>
        </w:rPr>
        <w:t xml:space="preserve"> </w:t>
      </w:r>
      <w:r w:rsidRPr="00A1040E">
        <w:rPr>
          <w:rFonts w:eastAsia="Malgun Gothic"/>
          <w:kern w:val="22"/>
          <w:szCs w:val="22"/>
          <w:lang w:eastAsia="x-none"/>
        </w:rPr>
        <w:t>comply</w:t>
      </w:r>
      <w:r w:rsidR="00EF3314">
        <w:rPr>
          <w:rFonts w:eastAsia="Malgun Gothic"/>
          <w:kern w:val="22"/>
          <w:szCs w:val="22"/>
          <w:lang w:eastAsia="x-none"/>
        </w:rPr>
        <w:t>ing</w:t>
      </w:r>
      <w:r w:rsidRPr="00A1040E">
        <w:rPr>
          <w:rFonts w:eastAsia="Malgun Gothic"/>
          <w:kern w:val="22"/>
          <w:szCs w:val="22"/>
          <w:lang w:eastAsia="x-none"/>
        </w:rPr>
        <w:t xml:space="preserve"> with ABS requirements.</w:t>
      </w:r>
    </w:p>
    <w:p w14:paraId="67DFA071"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29.</w:t>
      </w:r>
      <w:r w:rsidRPr="00A1040E">
        <w:rPr>
          <w:rFonts w:eastAsia="Malgun Gothic"/>
          <w:kern w:val="22"/>
          <w:szCs w:val="22"/>
          <w:lang w:eastAsia="x-none"/>
        </w:rPr>
        <w:tab/>
        <w:t>Implementing the provisions related to indigenous peoples and local communities is one of the main challenges identified by Parties. Community protocols on ABS can help to address some of the challenges identified in paragraph 10 above. They can help the indigenous peoples and local communities that develop them to articulate their values, practices and aspirations. They can also help Governments to implement the provisions of the Protocol related to indigenous peoples and local communities, and they provide clarity and certainty to users on how to have access to genetic resources and/or associated traditional knowledge held by indigenous peoples and local communities.</w:t>
      </w:r>
    </w:p>
    <w:p w14:paraId="091AF0FC" w14:textId="4DB9D51D" w:rsidR="0038613F" w:rsidRPr="00F0224D"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rPr>
      </w:pPr>
      <w:r w:rsidRPr="00A1040E">
        <w:rPr>
          <w:rFonts w:eastAsia="Malgun Gothic"/>
          <w:kern w:val="22"/>
          <w:szCs w:val="22"/>
        </w:rPr>
        <w:t>30.</w:t>
      </w:r>
      <w:r w:rsidRPr="00A1040E">
        <w:rPr>
          <w:rFonts w:eastAsia="Malgun Gothic"/>
          <w:kern w:val="22"/>
          <w:szCs w:val="22"/>
        </w:rPr>
        <w:tab/>
        <w:t xml:space="preserve">Community protocols are being developed and used in a variety of contexts, including but not limited to ABS. Some deal with biotrade or land issues and include some ABS elements as part of a </w:t>
      </w:r>
      <w:r w:rsidR="00F0224D">
        <w:rPr>
          <w:rFonts w:eastAsia="Malgun Gothic"/>
          <w:kern w:val="22"/>
          <w:szCs w:val="22"/>
        </w:rPr>
        <w:t>wider</w:t>
      </w:r>
      <w:r w:rsidRPr="00A1040E">
        <w:rPr>
          <w:rFonts w:eastAsia="Malgun Gothic"/>
          <w:kern w:val="22"/>
          <w:szCs w:val="22"/>
        </w:rPr>
        <w:t xml:space="preserve"> context. Incorporating ABS elements in existing community protocols dealing with resource or land management or biotrade may facilitate the process. Supporting indigenous peoples and local communities in developing community protocols is essential, as well as doing so in way that ensures that the outcomes represent community values, practices and aspirations.</w:t>
      </w:r>
    </w:p>
    <w:p w14:paraId="699BB688" w14:textId="77777777" w:rsidR="0038613F" w:rsidRPr="00A1040E" w:rsidRDefault="0038613F" w:rsidP="000346A8">
      <w:pPr>
        <w:keepNext/>
        <w:keepLines/>
        <w:suppressLineNumbers/>
        <w:suppressAutoHyphens/>
        <w:kinsoku w:val="0"/>
        <w:overflowPunct w:val="0"/>
        <w:autoSpaceDE w:val="0"/>
        <w:autoSpaceDN w:val="0"/>
        <w:adjustRightInd w:val="0"/>
        <w:snapToGrid w:val="0"/>
        <w:ind w:left="1264" w:hanging="1264"/>
        <w:rPr>
          <w:rFonts w:eastAsia="Calibri"/>
          <w:b/>
          <w:color w:val="000000"/>
          <w:kern w:val="22"/>
          <w:szCs w:val="22"/>
          <w:u w:color="000000"/>
        </w:rPr>
      </w:pPr>
      <w:r w:rsidRPr="00A1040E">
        <w:rPr>
          <w:rFonts w:eastAsia="Calibri"/>
          <w:b/>
          <w:color w:val="000000"/>
          <w:kern w:val="22"/>
          <w:szCs w:val="22"/>
          <w:u w:color="000000"/>
        </w:rPr>
        <w:t>Element (g):</w:t>
      </w:r>
      <w:r w:rsidRPr="00A1040E">
        <w:rPr>
          <w:rFonts w:eastAsia="Calibri"/>
          <w:b/>
          <w:color w:val="000000"/>
          <w:kern w:val="22"/>
          <w:szCs w:val="22"/>
          <w:u w:color="000000"/>
        </w:rPr>
        <w:tab/>
        <w:t>Review of implementation and operation of the Access and Benefit-sharing Clearing-House, including number of access and benefit-sharing measures made available; number of countries that have published information on their competent national authorities; number of internationally recognized certificates of compliance that have been constituted and number of checkpoint communiqués published</w:t>
      </w:r>
    </w:p>
    <w:p w14:paraId="15B66815"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31.</w:t>
      </w:r>
      <w:r w:rsidRPr="00A1040E">
        <w:rPr>
          <w:rFonts w:eastAsia="Malgun Gothic"/>
          <w:kern w:val="22"/>
          <w:szCs w:val="22"/>
          <w:lang w:eastAsia="x-none"/>
        </w:rPr>
        <w:tab/>
        <w:t>Approximately half of the users of the ABS Clearing-House are users of genetic resources or associated traditional knowledge and consult the ABS Clearing-House to find national information. Feedback received highlights the important need to provide improved and clear information on national ABS requirements and procedures. This information should provide users with simple and easy to understand guidance on the necessary steps to apply for access to genetic resources and associated traditional knowledge.</w:t>
      </w:r>
    </w:p>
    <w:p w14:paraId="11C3BDF5" w14:textId="24FF1A92"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32.</w:t>
      </w:r>
      <w:r w:rsidRPr="00A1040E">
        <w:rPr>
          <w:rFonts w:eastAsia="Malgun Gothic"/>
          <w:kern w:val="22"/>
          <w:szCs w:val="22"/>
          <w:lang w:eastAsia="x-none"/>
        </w:rPr>
        <w:tab/>
        <w:t>Relevant stakeholders</w:t>
      </w:r>
      <w:r w:rsidR="00B60F4A" w:rsidRPr="00A1040E">
        <w:rPr>
          <w:rFonts w:eastAsia="Malgun Gothic"/>
          <w:kern w:val="22"/>
          <w:szCs w:val="22"/>
          <w:lang w:eastAsia="x-none"/>
        </w:rPr>
        <w:t>,</w:t>
      </w:r>
      <w:r w:rsidRPr="00A1040E">
        <w:rPr>
          <w:rFonts w:eastAsia="Malgun Gothic"/>
          <w:kern w:val="22"/>
          <w:szCs w:val="22"/>
          <w:lang w:eastAsia="x-none"/>
        </w:rPr>
        <w:t xml:space="preserve"> in particular the business and scientific communities, could benefit from more outreach and awareness-raising both as users of genetic resources and as potential contributors of relevant information (e.g. model clauses, codes of conduct, awareness-raising materials). The implementation of the ABS Clearing-House could also benefit from a greater understanding of their needs in terms of functionality and design of the ABS Clearing-House.</w:t>
      </w:r>
    </w:p>
    <w:p w14:paraId="1D5B08B1"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1040E">
        <w:rPr>
          <w:rFonts w:eastAsia="Malgun Gothic"/>
          <w:kern w:val="22"/>
          <w:szCs w:val="22"/>
          <w:lang w:eastAsia="x-none"/>
        </w:rPr>
        <w:t>33.</w:t>
      </w:r>
      <w:r w:rsidRPr="00A1040E">
        <w:rPr>
          <w:rFonts w:eastAsia="Malgun Gothic"/>
          <w:kern w:val="22"/>
          <w:szCs w:val="22"/>
          <w:lang w:eastAsia="x-none"/>
        </w:rPr>
        <w:tab/>
        <w:t>Technical assistance for use of the ABS Clearing-House still required. The live chat is a very valued feature by users of the ABS Clearing-House. Capacity-building on the use of the ABS Clearing-House and implementation of the Protocol is closely related. Many questions received through the live chat and during the capacity-building activities for the ABS Clearing-House are about implementation of the Protocol rather than the technical support to use the clearing-house.</w:t>
      </w:r>
    </w:p>
    <w:p w14:paraId="486939FA" w14:textId="77777777" w:rsidR="0038613F" w:rsidRPr="00A1040E" w:rsidRDefault="0038613F" w:rsidP="000346A8">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p>
    <w:p w14:paraId="07E21732" w14:textId="77777777" w:rsidR="0038613F" w:rsidRPr="00A1040E" w:rsidRDefault="0038613F">
      <w:pPr>
        <w:suppressLineNumbers/>
        <w:suppressAutoHyphens/>
        <w:kinsoku w:val="0"/>
        <w:overflowPunct w:val="0"/>
        <w:autoSpaceDE w:val="0"/>
        <w:autoSpaceDN w:val="0"/>
        <w:adjustRightInd w:val="0"/>
        <w:snapToGrid w:val="0"/>
        <w:jc w:val="center"/>
        <w:outlineLvl w:val="2"/>
        <w:rPr>
          <w:rFonts w:eastAsia="Malgun Gothic"/>
          <w:i/>
          <w:kern w:val="22"/>
          <w:szCs w:val="22"/>
        </w:rPr>
      </w:pPr>
      <w:r w:rsidRPr="00A1040E">
        <w:rPr>
          <w:rFonts w:eastAsia="Malgun Gothic"/>
          <w:i/>
          <w:kern w:val="22"/>
          <w:szCs w:val="22"/>
        </w:rPr>
        <w:t>Annex II</w:t>
      </w:r>
    </w:p>
    <w:p w14:paraId="07A097CF" w14:textId="71C20D68" w:rsidR="0038613F" w:rsidRPr="000346A8" w:rsidRDefault="0038613F">
      <w:pPr>
        <w:keepNext/>
        <w:suppressLineNumbers/>
        <w:suppressAutoHyphens/>
        <w:kinsoku w:val="0"/>
        <w:overflowPunct w:val="0"/>
        <w:autoSpaceDE w:val="0"/>
        <w:autoSpaceDN w:val="0"/>
        <w:adjustRightInd w:val="0"/>
        <w:snapToGrid w:val="0"/>
        <w:spacing w:before="120" w:after="120"/>
        <w:jc w:val="center"/>
        <w:rPr>
          <w:rFonts w:eastAsia="Malgun Gothic"/>
          <w:b/>
          <w:kern w:val="22"/>
          <w:szCs w:val="22"/>
        </w:rPr>
      </w:pPr>
      <w:r w:rsidRPr="000346A8">
        <w:rPr>
          <w:rFonts w:eastAsia="Malgun Gothic"/>
          <w:b/>
          <w:kern w:val="22"/>
          <w:szCs w:val="22"/>
        </w:rPr>
        <w:t>FRAMEWORK OF INDICATORS AND REFERENCE POINTS TO MEASURE PROGRESS</w:t>
      </w:r>
    </w:p>
    <w:p w14:paraId="36EC8DFB" w14:textId="77777777" w:rsidR="0038613F" w:rsidRPr="000346A8" w:rsidRDefault="0038613F">
      <w:pPr>
        <w:suppressLineNumbers/>
        <w:suppressAutoHyphens/>
        <w:kinsoku w:val="0"/>
        <w:overflowPunct w:val="0"/>
        <w:autoSpaceDE w:val="0"/>
        <w:autoSpaceDN w:val="0"/>
        <w:adjustRightInd w:val="0"/>
        <w:snapToGrid w:val="0"/>
        <w:spacing w:before="120" w:after="120"/>
        <w:rPr>
          <w:rFonts w:eastAsia="Malgun Gothic"/>
          <w:spacing w:val="-2"/>
          <w:kern w:val="22"/>
          <w:szCs w:val="22"/>
          <w:lang w:eastAsia="x-none"/>
        </w:rPr>
      </w:pPr>
      <w:r w:rsidRPr="000346A8">
        <w:rPr>
          <w:rFonts w:eastAsia="Malgun Gothic"/>
          <w:spacing w:val="-2"/>
          <w:kern w:val="22"/>
          <w:szCs w:val="22"/>
          <w:lang w:eastAsia="x-none"/>
        </w:rPr>
        <w:t>1.</w:t>
      </w:r>
      <w:r w:rsidRPr="000346A8">
        <w:rPr>
          <w:rFonts w:eastAsia="Malgun Gothic"/>
          <w:spacing w:val="-2"/>
          <w:kern w:val="22"/>
          <w:szCs w:val="22"/>
          <w:lang w:eastAsia="x-none"/>
        </w:rPr>
        <w:tab/>
        <w:t>The following table proposes indicators for each of the elements addressed by the first assessment and review. Reference points are included for most of the indicators proposed. These reference points determine a baseline against which progress can be measured in the future for each of the indicators. The indicators proposed are mostly based on existing questions of the interim national report. However, there are instances where no conclusive information could be drawn from the responses to the interim national report, and therefore, a new text is suggested for those indicators. The new or revised indicators are identified in the table.</w:t>
      </w:r>
    </w:p>
    <w:p w14:paraId="2C0FAF5A" w14:textId="77777777" w:rsidR="0038613F" w:rsidRPr="00B31519" w:rsidRDefault="0038613F">
      <w:pPr>
        <w:suppressLineNumbers/>
        <w:suppressAutoHyphens/>
        <w:kinsoku w:val="0"/>
        <w:overflowPunct w:val="0"/>
        <w:autoSpaceDE w:val="0"/>
        <w:autoSpaceDN w:val="0"/>
        <w:adjustRightInd w:val="0"/>
        <w:snapToGrid w:val="0"/>
        <w:spacing w:before="120" w:after="120"/>
        <w:rPr>
          <w:rFonts w:eastAsia="Malgun Gothic"/>
          <w:kern w:val="22"/>
          <w:szCs w:val="22"/>
          <w:lang w:eastAsia="x-none"/>
        </w:rPr>
      </w:pPr>
      <w:r w:rsidRPr="00A57937">
        <w:rPr>
          <w:rFonts w:eastAsia="Malgun Gothic"/>
          <w:kern w:val="22"/>
          <w:szCs w:val="22"/>
          <w:lang w:eastAsia="x-none"/>
        </w:rPr>
        <w:t>2.</w:t>
      </w:r>
      <w:r w:rsidRPr="00A57937">
        <w:rPr>
          <w:rFonts w:eastAsia="Malgun Gothic"/>
          <w:kern w:val="22"/>
          <w:szCs w:val="22"/>
          <w:lang w:eastAsia="x-none"/>
        </w:rPr>
        <w:tab/>
        <w:t>It also includes the source of information used to establish the reference point. For ease of reference, it fo</w:t>
      </w:r>
      <w:r w:rsidRPr="00B31519">
        <w:rPr>
          <w:rFonts w:eastAsia="Malgun Gothic"/>
          <w:kern w:val="22"/>
          <w:szCs w:val="22"/>
          <w:lang w:eastAsia="x-none"/>
        </w:rPr>
        <w:t>llows the structure and order of the format of the interim national report and includes reference to the element/s under which the indicator is being considered.</w:t>
      </w:r>
    </w:p>
    <w:p w14:paraId="70C6C903" w14:textId="77777777" w:rsidR="0038613F" w:rsidRPr="00A1040E" w:rsidRDefault="0038613F">
      <w:pPr>
        <w:suppressLineNumbers/>
        <w:suppressAutoHyphens/>
        <w:kinsoku w:val="0"/>
        <w:overflowPunct w:val="0"/>
        <w:autoSpaceDE w:val="0"/>
        <w:autoSpaceDN w:val="0"/>
        <w:adjustRightInd w:val="0"/>
        <w:snapToGrid w:val="0"/>
        <w:spacing w:before="120"/>
        <w:rPr>
          <w:rFonts w:eastAsia="Malgun Gothic"/>
          <w:kern w:val="22"/>
          <w:szCs w:val="22"/>
          <w:lang w:eastAsia="x-none"/>
        </w:rPr>
      </w:pPr>
      <w:r w:rsidRPr="00A1040E">
        <w:rPr>
          <w:rFonts w:eastAsia="Malgun Gothic"/>
          <w:kern w:val="22"/>
          <w:szCs w:val="22"/>
          <w:lang w:eastAsia="x-none"/>
        </w:rPr>
        <w:t>3.</w:t>
      </w:r>
      <w:r w:rsidRPr="00A1040E">
        <w:rPr>
          <w:rFonts w:eastAsia="Malgun Gothic"/>
          <w:kern w:val="22"/>
          <w:szCs w:val="22"/>
          <w:lang w:eastAsia="x-none"/>
        </w:rPr>
        <w:tab/>
        <w:t>The framework is flexible tool that can be adapted as further progress is made with implementation.</w:t>
      </w:r>
    </w:p>
    <w:p w14:paraId="151A7692" w14:textId="77777777" w:rsidR="0038613F" w:rsidRPr="00A1040E" w:rsidRDefault="0038613F">
      <w:pPr>
        <w:suppressLineNumbers/>
        <w:suppressAutoHyphens/>
        <w:kinsoku w:val="0"/>
        <w:overflowPunct w:val="0"/>
        <w:autoSpaceDE w:val="0"/>
        <w:autoSpaceDN w:val="0"/>
        <w:adjustRightInd w:val="0"/>
        <w:snapToGrid w:val="0"/>
        <w:rPr>
          <w:rFonts w:eastAsia="Malgun Gothic"/>
          <w:kern w:val="22"/>
          <w:szCs w:val="22"/>
        </w:rPr>
      </w:pP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2"/>
        <w:gridCol w:w="1104"/>
        <w:gridCol w:w="1506"/>
        <w:gridCol w:w="1321"/>
      </w:tblGrid>
      <w:tr w:rsidR="0038613F" w:rsidRPr="00A1040E" w14:paraId="23FE6398" w14:textId="77777777" w:rsidTr="00EA1A55">
        <w:trPr>
          <w:cantSplit/>
          <w:tblHeader/>
          <w:jc w:val="center"/>
        </w:trPr>
        <w:tc>
          <w:tcPr>
            <w:tcW w:w="5552" w:type="dxa"/>
            <w:shd w:val="pct5" w:color="auto" w:fill="auto"/>
            <w:tcMar>
              <w:top w:w="29" w:type="dxa"/>
              <w:left w:w="115" w:type="dxa"/>
              <w:bottom w:w="29" w:type="dxa"/>
              <w:right w:w="115" w:type="dxa"/>
            </w:tcMar>
            <w:vAlign w:val="center"/>
          </w:tcPr>
          <w:p w14:paraId="334389E5" w14:textId="3C895461" w:rsidR="0038613F" w:rsidRPr="00A1040E" w:rsidRDefault="00285B3A">
            <w:pPr>
              <w:suppressLineNumbers/>
              <w:suppressAutoHyphens/>
              <w:kinsoku w:val="0"/>
              <w:overflowPunct w:val="0"/>
              <w:autoSpaceDE w:val="0"/>
              <w:autoSpaceDN w:val="0"/>
              <w:adjustRightInd w:val="0"/>
              <w:snapToGrid w:val="0"/>
              <w:jc w:val="center"/>
              <w:rPr>
                <w:rFonts w:eastAsia="Malgun Gothic"/>
                <w:b/>
                <w:kern w:val="22"/>
                <w:szCs w:val="22"/>
              </w:rPr>
            </w:pPr>
            <w:r w:rsidRPr="00A1040E">
              <w:rPr>
                <w:rFonts w:eastAsia="Malgun Gothic"/>
                <w:b/>
                <w:kern w:val="22"/>
                <w:szCs w:val="22"/>
              </w:rPr>
              <w:t>F</w:t>
            </w:r>
            <w:r w:rsidR="0038613F" w:rsidRPr="00A1040E">
              <w:rPr>
                <w:rFonts w:eastAsia="Malgun Gothic"/>
                <w:b/>
                <w:kern w:val="22"/>
                <w:szCs w:val="22"/>
              </w:rPr>
              <w:t>ramework of indicators</w:t>
            </w:r>
          </w:p>
        </w:tc>
        <w:tc>
          <w:tcPr>
            <w:tcW w:w="1104" w:type="dxa"/>
            <w:shd w:val="pct5" w:color="auto" w:fill="auto"/>
            <w:tcMar>
              <w:top w:w="29" w:type="dxa"/>
              <w:left w:w="115" w:type="dxa"/>
              <w:bottom w:w="29" w:type="dxa"/>
              <w:right w:w="115" w:type="dxa"/>
            </w:tcMar>
            <w:vAlign w:val="center"/>
          </w:tcPr>
          <w:p w14:paraId="410DDB47" w14:textId="77777777" w:rsidR="0038613F" w:rsidRPr="00A1040E" w:rsidRDefault="0038613F">
            <w:pPr>
              <w:suppressLineNumbers/>
              <w:suppressAutoHyphens/>
              <w:kinsoku w:val="0"/>
              <w:overflowPunct w:val="0"/>
              <w:autoSpaceDE w:val="0"/>
              <w:autoSpaceDN w:val="0"/>
              <w:adjustRightInd w:val="0"/>
              <w:snapToGrid w:val="0"/>
              <w:jc w:val="center"/>
              <w:rPr>
                <w:rFonts w:eastAsia="Malgun Gothic"/>
                <w:b/>
                <w:kern w:val="22"/>
                <w:szCs w:val="22"/>
              </w:rPr>
            </w:pPr>
            <w:r w:rsidRPr="00A1040E">
              <w:rPr>
                <w:rFonts w:eastAsia="Malgun Gothic"/>
                <w:b/>
                <w:kern w:val="22"/>
                <w:szCs w:val="22"/>
              </w:rPr>
              <w:t>Element</w:t>
            </w:r>
          </w:p>
        </w:tc>
        <w:tc>
          <w:tcPr>
            <w:tcW w:w="1506" w:type="dxa"/>
            <w:shd w:val="pct5" w:color="auto" w:fill="auto"/>
            <w:tcMar>
              <w:top w:w="29" w:type="dxa"/>
              <w:left w:w="115" w:type="dxa"/>
              <w:bottom w:w="29" w:type="dxa"/>
              <w:right w:w="115" w:type="dxa"/>
            </w:tcMar>
            <w:vAlign w:val="center"/>
          </w:tcPr>
          <w:p w14:paraId="4BA1F867" w14:textId="77777777" w:rsidR="0038613F" w:rsidRPr="00A1040E" w:rsidRDefault="0038613F">
            <w:pPr>
              <w:suppressLineNumbers/>
              <w:suppressAutoHyphens/>
              <w:kinsoku w:val="0"/>
              <w:overflowPunct w:val="0"/>
              <w:autoSpaceDE w:val="0"/>
              <w:autoSpaceDN w:val="0"/>
              <w:adjustRightInd w:val="0"/>
              <w:snapToGrid w:val="0"/>
              <w:jc w:val="center"/>
              <w:rPr>
                <w:rFonts w:ascii="Times New Roman Bold" w:eastAsia="Malgun Gothic" w:hAnsi="Times New Roman Bold" w:hint="eastAsia"/>
                <w:b/>
                <w:kern w:val="22"/>
                <w:szCs w:val="22"/>
              </w:rPr>
            </w:pPr>
            <w:r w:rsidRPr="00A1040E">
              <w:rPr>
                <w:rFonts w:ascii="Times New Roman Bold" w:eastAsia="Malgun Gothic" w:hAnsi="Times New Roman Bold" w:hint="eastAsia"/>
                <w:b/>
                <w:kern w:val="22"/>
                <w:szCs w:val="22"/>
              </w:rPr>
              <w:t>Reference point (as of 22 February 2018)</w:t>
            </w:r>
          </w:p>
        </w:tc>
        <w:tc>
          <w:tcPr>
            <w:tcW w:w="1321" w:type="dxa"/>
            <w:shd w:val="pct5" w:color="auto" w:fill="auto"/>
            <w:tcMar>
              <w:top w:w="29" w:type="dxa"/>
              <w:left w:w="115" w:type="dxa"/>
              <w:bottom w:w="29" w:type="dxa"/>
              <w:right w:w="115" w:type="dxa"/>
            </w:tcMar>
            <w:vAlign w:val="center"/>
          </w:tcPr>
          <w:p w14:paraId="1FC35772" w14:textId="77777777" w:rsidR="0038613F" w:rsidRPr="00A1040E" w:rsidRDefault="0038613F">
            <w:pPr>
              <w:suppressLineNumbers/>
              <w:suppressAutoHyphens/>
              <w:kinsoku w:val="0"/>
              <w:overflowPunct w:val="0"/>
              <w:autoSpaceDE w:val="0"/>
              <w:autoSpaceDN w:val="0"/>
              <w:adjustRightInd w:val="0"/>
              <w:snapToGrid w:val="0"/>
              <w:jc w:val="left"/>
              <w:rPr>
                <w:rFonts w:eastAsia="Malgun Gothic"/>
                <w:b/>
                <w:kern w:val="22"/>
                <w:szCs w:val="22"/>
              </w:rPr>
            </w:pPr>
            <w:r w:rsidRPr="00A1040E">
              <w:rPr>
                <w:rFonts w:eastAsia="Malgun Gothic"/>
                <w:b/>
                <w:kern w:val="22"/>
                <w:szCs w:val="22"/>
              </w:rPr>
              <w:t>Source</w:t>
            </w:r>
          </w:p>
        </w:tc>
      </w:tr>
      <w:tr w:rsidR="0038613F" w:rsidRPr="00A1040E" w14:paraId="16DF3D5A" w14:textId="77777777"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713F7404"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Malgun Gothic"/>
                <w:kern w:val="22"/>
                <w:szCs w:val="22"/>
              </w:rPr>
            </w:pPr>
            <w:r w:rsidRPr="00A1040E">
              <w:rPr>
                <w:rFonts w:eastAsia="Malgun Gothic"/>
                <w:kern w:val="22"/>
                <w:szCs w:val="22"/>
              </w:rPr>
              <w:t>1.</w:t>
            </w:r>
            <w:r w:rsidRPr="00A1040E">
              <w:rPr>
                <w:rFonts w:eastAsia="Malgun Gothic"/>
                <w:kern w:val="22"/>
                <w:szCs w:val="22"/>
              </w:rPr>
              <w:tab/>
            </w:r>
            <w:r w:rsidRPr="0052359B">
              <w:rPr>
                <w:rFonts w:eastAsia="Malgun Gothic"/>
                <w:kern w:val="22"/>
                <w:szCs w:val="22"/>
              </w:rPr>
              <w:t>Number of Parties to the CBD that have ratified the Nagoya Protocol</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2A52A754"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p>
        </w:tc>
        <w:tc>
          <w:tcPr>
            <w:tcW w:w="1506" w:type="dxa"/>
            <w:tcBorders>
              <w:bottom w:val="single" w:sz="4" w:space="0" w:color="auto"/>
            </w:tcBorders>
            <w:shd w:val="clear" w:color="auto" w:fill="auto"/>
            <w:tcMar>
              <w:top w:w="29" w:type="dxa"/>
              <w:left w:w="115" w:type="dxa"/>
              <w:bottom w:w="29" w:type="dxa"/>
              <w:right w:w="115" w:type="dxa"/>
            </w:tcMar>
            <w:vAlign w:val="center"/>
          </w:tcPr>
          <w:p w14:paraId="3FEA0E51"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105 (54%)</w:t>
            </w:r>
          </w:p>
        </w:tc>
        <w:tc>
          <w:tcPr>
            <w:tcW w:w="1321" w:type="dxa"/>
            <w:tcBorders>
              <w:bottom w:val="single" w:sz="4" w:space="0" w:color="auto"/>
            </w:tcBorders>
            <w:shd w:val="clear" w:color="auto" w:fill="auto"/>
            <w:tcMar>
              <w:top w:w="29" w:type="dxa"/>
              <w:left w:w="115" w:type="dxa"/>
              <w:bottom w:w="29" w:type="dxa"/>
              <w:right w:w="115" w:type="dxa"/>
            </w:tcMar>
            <w:vAlign w:val="center"/>
          </w:tcPr>
          <w:p w14:paraId="11341A3C" w14:textId="77777777" w:rsidR="0038613F" w:rsidRPr="00B31519"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B31519">
              <w:rPr>
                <w:rFonts w:eastAsia="Malgun Gothic"/>
                <w:kern w:val="22"/>
                <w:szCs w:val="22"/>
              </w:rPr>
              <w:t>United Nations Treaty Collection</w:t>
            </w:r>
          </w:p>
        </w:tc>
      </w:tr>
      <w:tr w:rsidR="0038613F" w:rsidRPr="00A1040E" w14:paraId="1F03DECA" w14:textId="77777777" w:rsidTr="00EA1A55">
        <w:trPr>
          <w:cantSplit/>
          <w:jc w:val="center"/>
        </w:trPr>
        <w:tc>
          <w:tcPr>
            <w:tcW w:w="9483" w:type="dxa"/>
            <w:gridSpan w:val="4"/>
            <w:shd w:val="pct5" w:color="auto" w:fill="auto"/>
            <w:tcMar>
              <w:top w:w="29" w:type="dxa"/>
              <w:left w:w="115" w:type="dxa"/>
              <w:bottom w:w="29" w:type="dxa"/>
              <w:right w:w="115" w:type="dxa"/>
            </w:tcMar>
            <w:vAlign w:val="center"/>
          </w:tcPr>
          <w:p w14:paraId="0D415919" w14:textId="77777777" w:rsidR="0038613F" w:rsidRPr="0052359B" w:rsidRDefault="0038613F">
            <w:pPr>
              <w:keepNext/>
              <w:suppressLineNumbers/>
              <w:suppressAutoHyphens/>
              <w:kinsoku w:val="0"/>
              <w:overflowPunct w:val="0"/>
              <w:autoSpaceDE w:val="0"/>
              <w:autoSpaceDN w:val="0"/>
              <w:adjustRightInd w:val="0"/>
              <w:snapToGrid w:val="0"/>
              <w:ind w:left="317"/>
              <w:jc w:val="left"/>
              <w:rPr>
                <w:rFonts w:eastAsia="Malgun Gothic"/>
                <w:b/>
                <w:kern w:val="22"/>
                <w:szCs w:val="22"/>
              </w:rPr>
            </w:pPr>
            <w:r w:rsidRPr="00A1040E">
              <w:rPr>
                <w:rFonts w:eastAsia="Malgun Gothic"/>
                <w:b/>
                <w:kern w:val="22"/>
                <w:szCs w:val="22"/>
              </w:rPr>
              <w:t>Institutional structures for the implementation of the Protocol</w:t>
            </w:r>
          </w:p>
        </w:tc>
      </w:tr>
      <w:tr w:rsidR="0038613F" w:rsidRPr="00A1040E" w14:paraId="750DB54B" w14:textId="77777777" w:rsidTr="00EA1A55">
        <w:trPr>
          <w:cantSplit/>
          <w:jc w:val="center"/>
        </w:trPr>
        <w:tc>
          <w:tcPr>
            <w:tcW w:w="5552" w:type="dxa"/>
            <w:shd w:val="clear" w:color="auto" w:fill="auto"/>
            <w:tcMar>
              <w:top w:w="29" w:type="dxa"/>
              <w:left w:w="115" w:type="dxa"/>
              <w:bottom w:w="29" w:type="dxa"/>
              <w:right w:w="115" w:type="dxa"/>
            </w:tcMar>
          </w:tcPr>
          <w:p w14:paraId="7286A287"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Malgun Gothic"/>
                <w:kern w:val="22"/>
                <w:szCs w:val="22"/>
              </w:rPr>
            </w:pPr>
            <w:r w:rsidRPr="00A1040E">
              <w:rPr>
                <w:rFonts w:eastAsia="Malgun Gothic"/>
                <w:kern w:val="22"/>
                <w:szCs w:val="22"/>
              </w:rPr>
              <w:t>2.</w:t>
            </w:r>
            <w:r w:rsidRPr="00A1040E">
              <w:rPr>
                <w:rFonts w:eastAsia="Malgun Gothic"/>
                <w:kern w:val="22"/>
                <w:szCs w:val="22"/>
              </w:rPr>
              <w:tab/>
              <w:t xml:space="preserve">Number and percentage of Parties with legislative, administrative and </w:t>
            </w:r>
            <w:r w:rsidRPr="008964A8">
              <w:rPr>
                <w:rFonts w:eastAsia="Malgun Gothic"/>
                <w:kern w:val="22"/>
                <w:szCs w:val="22"/>
              </w:rPr>
              <w:t>policy measures on ABS</w:t>
            </w:r>
          </w:p>
        </w:tc>
        <w:tc>
          <w:tcPr>
            <w:tcW w:w="1104" w:type="dxa"/>
            <w:shd w:val="clear" w:color="auto" w:fill="auto"/>
            <w:tcMar>
              <w:top w:w="29" w:type="dxa"/>
              <w:left w:w="115" w:type="dxa"/>
              <w:bottom w:w="29" w:type="dxa"/>
              <w:right w:w="115" w:type="dxa"/>
            </w:tcMar>
            <w:vAlign w:val="center"/>
          </w:tcPr>
          <w:p w14:paraId="32160942"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Malgun Gothic"/>
                <w:kern w:val="22"/>
                <w:szCs w:val="22"/>
              </w:rPr>
              <w:t>(a)</w:t>
            </w:r>
          </w:p>
        </w:tc>
        <w:tc>
          <w:tcPr>
            <w:tcW w:w="1506" w:type="dxa"/>
            <w:shd w:val="clear" w:color="auto" w:fill="auto"/>
            <w:tcMar>
              <w:top w:w="29" w:type="dxa"/>
              <w:left w:w="115" w:type="dxa"/>
              <w:bottom w:w="29" w:type="dxa"/>
              <w:right w:w="115" w:type="dxa"/>
            </w:tcMar>
            <w:vAlign w:val="center"/>
          </w:tcPr>
          <w:p w14:paraId="126DF854" w14:textId="6D318536" w:rsidR="0038613F" w:rsidRPr="0075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7549EC">
              <w:rPr>
                <w:rFonts w:eastAsia="Calibri"/>
                <w:kern w:val="22"/>
                <w:szCs w:val="22"/>
              </w:rPr>
              <w:t>75 (71%)</w:t>
            </w:r>
          </w:p>
        </w:tc>
        <w:tc>
          <w:tcPr>
            <w:tcW w:w="1321" w:type="dxa"/>
            <w:shd w:val="clear" w:color="auto" w:fill="auto"/>
            <w:tcMar>
              <w:top w:w="29" w:type="dxa"/>
              <w:left w:w="115" w:type="dxa"/>
              <w:bottom w:w="29" w:type="dxa"/>
              <w:right w:w="115" w:type="dxa"/>
            </w:tcMar>
            <w:vAlign w:val="center"/>
          </w:tcPr>
          <w:p w14:paraId="1FDC6FB5" w14:textId="77777777" w:rsidR="0038613F" w:rsidRPr="00A57937"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A57937">
              <w:rPr>
                <w:rFonts w:eastAsia="Malgun Gothic"/>
                <w:kern w:val="22"/>
                <w:szCs w:val="22"/>
              </w:rPr>
              <w:t>Q.4 ABS-CH CBD report</w:t>
            </w:r>
          </w:p>
          <w:p w14:paraId="66B62747" w14:textId="77777777" w:rsidR="0038613F" w:rsidRPr="00B31519"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B31519">
              <w:rPr>
                <w:rFonts w:eastAsia="Malgun Gothic"/>
                <w:kern w:val="22"/>
                <w:szCs w:val="22"/>
              </w:rPr>
              <w:t>NBSAP</w:t>
            </w:r>
          </w:p>
        </w:tc>
      </w:tr>
      <w:tr w:rsidR="0038613F" w:rsidRPr="00A1040E" w14:paraId="2EA9D18A" w14:textId="77777777" w:rsidTr="00EA1A55">
        <w:trPr>
          <w:cantSplit/>
          <w:jc w:val="center"/>
        </w:trPr>
        <w:tc>
          <w:tcPr>
            <w:tcW w:w="5552" w:type="dxa"/>
            <w:shd w:val="clear" w:color="auto" w:fill="auto"/>
            <w:tcMar>
              <w:top w:w="29" w:type="dxa"/>
              <w:left w:w="115" w:type="dxa"/>
              <w:bottom w:w="29" w:type="dxa"/>
              <w:right w:w="115" w:type="dxa"/>
            </w:tcMar>
          </w:tcPr>
          <w:p w14:paraId="29F0EAAB"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Malgun Gothic"/>
                <w:kern w:val="22"/>
                <w:szCs w:val="22"/>
              </w:rPr>
            </w:pPr>
            <w:r w:rsidRPr="00A1040E">
              <w:rPr>
                <w:rFonts w:eastAsia="Malgun Gothic"/>
                <w:kern w:val="22"/>
                <w:szCs w:val="22"/>
              </w:rPr>
              <w:t>3.</w:t>
            </w:r>
            <w:r w:rsidRPr="00A1040E">
              <w:rPr>
                <w:rFonts w:eastAsia="Malgun Gothic"/>
                <w:kern w:val="22"/>
                <w:szCs w:val="22"/>
              </w:rPr>
              <w:tab/>
              <w:t>Number of Parties that have published information on legislative, administrative or policy measures on ABS in the ABS Clearing-House</w:t>
            </w:r>
          </w:p>
        </w:tc>
        <w:tc>
          <w:tcPr>
            <w:tcW w:w="1104" w:type="dxa"/>
            <w:shd w:val="clear" w:color="auto" w:fill="auto"/>
            <w:tcMar>
              <w:top w:w="29" w:type="dxa"/>
              <w:left w:w="115" w:type="dxa"/>
              <w:bottom w:w="29" w:type="dxa"/>
              <w:right w:w="115" w:type="dxa"/>
            </w:tcMar>
            <w:vAlign w:val="center"/>
          </w:tcPr>
          <w:p w14:paraId="1A6775AB" w14:textId="77777777" w:rsidR="0038613F" w:rsidRPr="00C649EC" w:rsidRDefault="0038613F">
            <w:pPr>
              <w:suppressLineNumbers/>
              <w:suppressAutoHyphens/>
              <w:kinsoku w:val="0"/>
              <w:overflowPunct w:val="0"/>
              <w:autoSpaceDE w:val="0"/>
              <w:autoSpaceDN w:val="0"/>
              <w:adjustRightInd w:val="0"/>
              <w:snapToGrid w:val="0"/>
              <w:jc w:val="center"/>
              <w:rPr>
                <w:rFonts w:eastAsia="Malgun Gothic"/>
                <w:kern w:val="22"/>
                <w:szCs w:val="22"/>
              </w:rPr>
            </w:pPr>
            <w:r w:rsidRPr="00C649EC">
              <w:rPr>
                <w:rFonts w:eastAsia="Malgun Gothic"/>
                <w:kern w:val="22"/>
                <w:szCs w:val="22"/>
              </w:rPr>
              <w:t>(g)</w:t>
            </w:r>
          </w:p>
        </w:tc>
        <w:tc>
          <w:tcPr>
            <w:tcW w:w="1506" w:type="dxa"/>
            <w:shd w:val="clear" w:color="auto" w:fill="auto"/>
            <w:tcMar>
              <w:top w:w="29" w:type="dxa"/>
              <w:left w:w="115" w:type="dxa"/>
              <w:bottom w:w="29" w:type="dxa"/>
              <w:right w:w="115" w:type="dxa"/>
            </w:tcMar>
            <w:vAlign w:val="center"/>
          </w:tcPr>
          <w:p w14:paraId="1308C036" w14:textId="1FD053FE" w:rsidR="0038613F" w:rsidRPr="00120DBE" w:rsidRDefault="0038613F">
            <w:pPr>
              <w:suppressLineNumbers/>
              <w:suppressAutoHyphens/>
              <w:kinsoku w:val="0"/>
              <w:overflowPunct w:val="0"/>
              <w:autoSpaceDE w:val="0"/>
              <w:autoSpaceDN w:val="0"/>
              <w:adjustRightInd w:val="0"/>
              <w:snapToGrid w:val="0"/>
              <w:jc w:val="center"/>
              <w:rPr>
                <w:rFonts w:eastAsia="Calibri"/>
                <w:kern w:val="22"/>
                <w:szCs w:val="22"/>
              </w:rPr>
            </w:pPr>
            <w:r w:rsidRPr="007549EC">
              <w:rPr>
                <w:rFonts w:eastAsia="Calibri"/>
                <w:kern w:val="22"/>
                <w:szCs w:val="22"/>
              </w:rPr>
              <w:t>45 (43%);</w:t>
            </w:r>
          </w:p>
        </w:tc>
        <w:tc>
          <w:tcPr>
            <w:tcW w:w="1321" w:type="dxa"/>
            <w:shd w:val="clear" w:color="auto" w:fill="auto"/>
            <w:tcMar>
              <w:top w:w="29" w:type="dxa"/>
              <w:left w:w="115" w:type="dxa"/>
              <w:bottom w:w="29" w:type="dxa"/>
              <w:right w:w="115" w:type="dxa"/>
            </w:tcMar>
            <w:vAlign w:val="center"/>
          </w:tcPr>
          <w:p w14:paraId="51C2865F" w14:textId="77777777" w:rsidR="0038613F" w:rsidRPr="00A57937"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A57937">
              <w:rPr>
                <w:rFonts w:eastAsia="Malgun Gothic"/>
                <w:kern w:val="22"/>
                <w:szCs w:val="22"/>
              </w:rPr>
              <w:t>ABS-CH</w:t>
            </w:r>
          </w:p>
        </w:tc>
      </w:tr>
      <w:tr w:rsidR="0038613F" w:rsidRPr="00A1040E" w14:paraId="5232D3DC" w14:textId="77777777" w:rsidTr="00EA1A55">
        <w:trPr>
          <w:cantSplit/>
          <w:jc w:val="center"/>
        </w:trPr>
        <w:tc>
          <w:tcPr>
            <w:tcW w:w="5552" w:type="dxa"/>
            <w:shd w:val="clear" w:color="auto" w:fill="auto"/>
            <w:tcMar>
              <w:top w:w="29" w:type="dxa"/>
              <w:left w:w="115" w:type="dxa"/>
              <w:bottom w:w="29" w:type="dxa"/>
              <w:right w:w="115" w:type="dxa"/>
            </w:tcMar>
          </w:tcPr>
          <w:p w14:paraId="43D86B9B"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Malgun Gothic"/>
                <w:kern w:val="22"/>
                <w:szCs w:val="22"/>
              </w:rPr>
            </w:pPr>
            <w:r w:rsidRPr="00A1040E">
              <w:rPr>
                <w:rFonts w:eastAsia="Malgun Gothic"/>
                <w:kern w:val="22"/>
                <w:szCs w:val="22"/>
              </w:rPr>
              <w:t>4.</w:t>
            </w:r>
            <w:r w:rsidRPr="00A1040E">
              <w:rPr>
                <w:rFonts w:eastAsia="Malgun Gothic"/>
                <w:kern w:val="22"/>
                <w:szCs w:val="22"/>
              </w:rPr>
              <w:tab/>
              <w:t xml:space="preserve">Number and percentage of </w:t>
            </w:r>
            <w:r w:rsidRPr="0052359B">
              <w:rPr>
                <w:rFonts w:eastAsia="Malgun Gothic"/>
                <w:kern w:val="22"/>
                <w:szCs w:val="22"/>
              </w:rPr>
              <w:t>Parties with national focal points on ABS</w:t>
            </w:r>
          </w:p>
        </w:tc>
        <w:tc>
          <w:tcPr>
            <w:tcW w:w="1104" w:type="dxa"/>
            <w:shd w:val="clear" w:color="auto" w:fill="auto"/>
            <w:tcMar>
              <w:top w:w="29" w:type="dxa"/>
              <w:left w:w="115" w:type="dxa"/>
              <w:bottom w:w="29" w:type="dxa"/>
              <w:right w:w="115" w:type="dxa"/>
            </w:tcMar>
            <w:vAlign w:val="center"/>
          </w:tcPr>
          <w:p w14:paraId="60A4F64B"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Malgun Gothic"/>
                <w:kern w:val="22"/>
                <w:szCs w:val="22"/>
              </w:rPr>
              <w:t>(a)</w:t>
            </w:r>
          </w:p>
        </w:tc>
        <w:tc>
          <w:tcPr>
            <w:tcW w:w="1506" w:type="dxa"/>
            <w:shd w:val="clear" w:color="auto" w:fill="auto"/>
            <w:tcMar>
              <w:top w:w="29" w:type="dxa"/>
              <w:left w:w="115" w:type="dxa"/>
              <w:bottom w:w="29" w:type="dxa"/>
              <w:right w:w="115" w:type="dxa"/>
            </w:tcMar>
            <w:vAlign w:val="center"/>
          </w:tcPr>
          <w:p w14:paraId="3389850C"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103 (98%)</w:t>
            </w:r>
          </w:p>
        </w:tc>
        <w:tc>
          <w:tcPr>
            <w:tcW w:w="1321" w:type="dxa"/>
            <w:shd w:val="clear" w:color="auto" w:fill="auto"/>
            <w:tcMar>
              <w:top w:w="29" w:type="dxa"/>
              <w:left w:w="115" w:type="dxa"/>
              <w:bottom w:w="29" w:type="dxa"/>
              <w:right w:w="115" w:type="dxa"/>
            </w:tcMar>
            <w:vAlign w:val="center"/>
          </w:tcPr>
          <w:p w14:paraId="3DC1E31E" w14:textId="77777777" w:rsidR="0038613F" w:rsidRPr="00B31519"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B31519">
              <w:rPr>
                <w:rFonts w:eastAsia="Malgun Gothic"/>
                <w:kern w:val="22"/>
                <w:szCs w:val="22"/>
              </w:rPr>
              <w:t>Q.5 ABS-CH</w:t>
            </w:r>
          </w:p>
        </w:tc>
      </w:tr>
      <w:tr w:rsidR="0038613F" w:rsidRPr="00A1040E" w14:paraId="34AD0681" w14:textId="77777777" w:rsidTr="00EA1A55">
        <w:trPr>
          <w:cantSplit/>
          <w:jc w:val="center"/>
        </w:trPr>
        <w:tc>
          <w:tcPr>
            <w:tcW w:w="5552" w:type="dxa"/>
            <w:shd w:val="clear" w:color="auto" w:fill="auto"/>
            <w:tcMar>
              <w:top w:w="29" w:type="dxa"/>
              <w:left w:w="115" w:type="dxa"/>
              <w:bottom w:w="29" w:type="dxa"/>
              <w:right w:w="115" w:type="dxa"/>
            </w:tcMar>
          </w:tcPr>
          <w:p w14:paraId="02F67039"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Malgun Gothic"/>
                <w:kern w:val="22"/>
                <w:szCs w:val="22"/>
              </w:rPr>
            </w:pPr>
            <w:r w:rsidRPr="00A1040E">
              <w:rPr>
                <w:rFonts w:eastAsia="Malgun Gothic"/>
                <w:kern w:val="22"/>
                <w:szCs w:val="22"/>
              </w:rPr>
              <w:t>5.</w:t>
            </w:r>
            <w:r w:rsidRPr="00A1040E">
              <w:rPr>
                <w:rFonts w:eastAsia="Malgun Gothic"/>
                <w:kern w:val="22"/>
                <w:szCs w:val="22"/>
              </w:rPr>
              <w:tab/>
              <w:t>Number and percentage of Parties with one or more competent national authorities</w:t>
            </w:r>
          </w:p>
        </w:tc>
        <w:tc>
          <w:tcPr>
            <w:tcW w:w="1104" w:type="dxa"/>
            <w:shd w:val="clear" w:color="auto" w:fill="auto"/>
            <w:tcMar>
              <w:top w:w="29" w:type="dxa"/>
              <w:left w:w="115" w:type="dxa"/>
              <w:bottom w:w="29" w:type="dxa"/>
              <w:right w:w="115" w:type="dxa"/>
            </w:tcMar>
            <w:vAlign w:val="center"/>
          </w:tcPr>
          <w:p w14:paraId="433BF141"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Malgun Gothic"/>
                <w:kern w:val="22"/>
                <w:szCs w:val="22"/>
              </w:rPr>
              <w:t>(a)</w:t>
            </w:r>
          </w:p>
        </w:tc>
        <w:tc>
          <w:tcPr>
            <w:tcW w:w="1506" w:type="dxa"/>
            <w:shd w:val="clear" w:color="auto" w:fill="auto"/>
            <w:tcMar>
              <w:top w:w="29" w:type="dxa"/>
              <w:left w:w="115" w:type="dxa"/>
              <w:bottom w:w="29" w:type="dxa"/>
              <w:right w:w="115" w:type="dxa"/>
            </w:tcMar>
            <w:vAlign w:val="center"/>
          </w:tcPr>
          <w:p w14:paraId="6DA32D72"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57 (54%)</w:t>
            </w:r>
          </w:p>
        </w:tc>
        <w:tc>
          <w:tcPr>
            <w:tcW w:w="1321" w:type="dxa"/>
            <w:shd w:val="clear" w:color="auto" w:fill="auto"/>
            <w:tcMar>
              <w:top w:w="29" w:type="dxa"/>
              <w:left w:w="115" w:type="dxa"/>
              <w:bottom w:w="29" w:type="dxa"/>
              <w:right w:w="115" w:type="dxa"/>
            </w:tcMar>
            <w:vAlign w:val="center"/>
          </w:tcPr>
          <w:p w14:paraId="28134F4C" w14:textId="77777777" w:rsidR="0038613F" w:rsidRPr="00B31519"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B31519">
              <w:rPr>
                <w:rFonts w:eastAsia="Malgun Gothic"/>
                <w:kern w:val="22"/>
                <w:szCs w:val="22"/>
              </w:rPr>
              <w:t>Q.6 ABS-CH CBD report</w:t>
            </w:r>
          </w:p>
          <w:p w14:paraId="07D5EB35" w14:textId="77777777" w:rsidR="0038613F" w:rsidRPr="00A1040E"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A1040E">
              <w:rPr>
                <w:rFonts w:eastAsia="Malgun Gothic"/>
                <w:kern w:val="22"/>
                <w:szCs w:val="22"/>
              </w:rPr>
              <w:t>NBSAP</w:t>
            </w:r>
          </w:p>
        </w:tc>
      </w:tr>
      <w:tr w:rsidR="0038613F" w:rsidRPr="00A1040E" w14:paraId="07B43C73" w14:textId="77777777" w:rsidTr="00EA1A55">
        <w:trPr>
          <w:cantSplit/>
          <w:jc w:val="center"/>
        </w:trPr>
        <w:tc>
          <w:tcPr>
            <w:tcW w:w="5552" w:type="dxa"/>
            <w:shd w:val="clear" w:color="auto" w:fill="auto"/>
            <w:tcMar>
              <w:top w:w="29" w:type="dxa"/>
              <w:left w:w="115" w:type="dxa"/>
              <w:bottom w:w="29" w:type="dxa"/>
              <w:right w:w="115" w:type="dxa"/>
            </w:tcMar>
          </w:tcPr>
          <w:p w14:paraId="6CDF49D1" w14:textId="77777777" w:rsidR="0038613F" w:rsidRPr="00C649EC" w:rsidRDefault="0038613F">
            <w:pPr>
              <w:suppressLineNumbers/>
              <w:suppressAutoHyphens/>
              <w:kinsoku w:val="0"/>
              <w:overflowPunct w:val="0"/>
              <w:autoSpaceDE w:val="0"/>
              <w:autoSpaceDN w:val="0"/>
              <w:adjustRightInd w:val="0"/>
              <w:snapToGrid w:val="0"/>
              <w:ind w:left="314" w:hanging="360"/>
              <w:rPr>
                <w:rFonts w:eastAsia="Malgun Gothic"/>
                <w:kern w:val="22"/>
                <w:szCs w:val="22"/>
              </w:rPr>
            </w:pPr>
            <w:r w:rsidRPr="00A1040E">
              <w:rPr>
                <w:rFonts w:eastAsia="Malgun Gothic"/>
                <w:kern w:val="22"/>
                <w:szCs w:val="22"/>
              </w:rPr>
              <w:t>6.</w:t>
            </w:r>
            <w:r w:rsidRPr="00A1040E">
              <w:rPr>
                <w:rFonts w:eastAsia="Malgun Gothic"/>
                <w:kern w:val="22"/>
                <w:szCs w:val="22"/>
              </w:rPr>
              <w:tab/>
              <w:t xml:space="preserve">Number and percentage of Parties that have published </w:t>
            </w:r>
            <w:r w:rsidRPr="008964A8">
              <w:rPr>
                <w:rFonts w:eastAsia="Malgun Gothic"/>
                <w:kern w:val="22"/>
                <w:szCs w:val="22"/>
              </w:rPr>
              <w:t>information on competent national authorities</w:t>
            </w:r>
            <w:r w:rsidRPr="008964A8">
              <w:rPr>
                <w:rFonts w:eastAsia="Calibri"/>
                <w:kern w:val="22"/>
                <w:szCs w:val="22"/>
              </w:rPr>
              <w:t xml:space="preserve"> </w:t>
            </w:r>
            <w:r w:rsidRPr="00C649EC">
              <w:rPr>
                <w:rFonts w:eastAsia="Malgun Gothic"/>
                <w:kern w:val="22"/>
                <w:szCs w:val="22"/>
              </w:rPr>
              <w:t>in the ABS Clearing-House</w:t>
            </w:r>
          </w:p>
        </w:tc>
        <w:tc>
          <w:tcPr>
            <w:tcW w:w="1104" w:type="dxa"/>
            <w:shd w:val="clear" w:color="auto" w:fill="auto"/>
            <w:tcMar>
              <w:top w:w="29" w:type="dxa"/>
              <w:left w:w="115" w:type="dxa"/>
              <w:bottom w:w="29" w:type="dxa"/>
              <w:right w:w="115" w:type="dxa"/>
            </w:tcMar>
            <w:vAlign w:val="center"/>
          </w:tcPr>
          <w:p w14:paraId="4D1FD7A7" w14:textId="77777777" w:rsidR="0038613F" w:rsidRPr="00C649EC" w:rsidRDefault="0038613F">
            <w:pPr>
              <w:suppressLineNumbers/>
              <w:suppressAutoHyphens/>
              <w:kinsoku w:val="0"/>
              <w:overflowPunct w:val="0"/>
              <w:autoSpaceDE w:val="0"/>
              <w:autoSpaceDN w:val="0"/>
              <w:adjustRightInd w:val="0"/>
              <w:snapToGrid w:val="0"/>
              <w:jc w:val="center"/>
              <w:rPr>
                <w:rFonts w:eastAsia="Malgun Gothic"/>
                <w:kern w:val="22"/>
                <w:szCs w:val="22"/>
              </w:rPr>
            </w:pPr>
            <w:r w:rsidRPr="00C649EC">
              <w:rPr>
                <w:rFonts w:eastAsia="Malgun Gothic"/>
                <w:kern w:val="22"/>
                <w:szCs w:val="22"/>
              </w:rPr>
              <w:t>(g)</w:t>
            </w:r>
          </w:p>
        </w:tc>
        <w:tc>
          <w:tcPr>
            <w:tcW w:w="1506" w:type="dxa"/>
            <w:shd w:val="clear" w:color="auto" w:fill="auto"/>
            <w:tcMar>
              <w:top w:w="29" w:type="dxa"/>
              <w:left w:w="115" w:type="dxa"/>
              <w:bottom w:w="29" w:type="dxa"/>
              <w:right w:w="115" w:type="dxa"/>
            </w:tcMar>
            <w:vAlign w:val="center"/>
          </w:tcPr>
          <w:p w14:paraId="59A0FDE7"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45 (43%)</w:t>
            </w:r>
          </w:p>
        </w:tc>
        <w:tc>
          <w:tcPr>
            <w:tcW w:w="1321" w:type="dxa"/>
            <w:shd w:val="clear" w:color="auto" w:fill="auto"/>
            <w:tcMar>
              <w:top w:w="29" w:type="dxa"/>
              <w:left w:w="115" w:type="dxa"/>
              <w:bottom w:w="29" w:type="dxa"/>
              <w:right w:w="115" w:type="dxa"/>
            </w:tcMar>
            <w:vAlign w:val="center"/>
          </w:tcPr>
          <w:p w14:paraId="103977C3" w14:textId="77777777" w:rsidR="0038613F" w:rsidRPr="00B31519"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B31519">
              <w:rPr>
                <w:rFonts w:eastAsia="Malgun Gothic"/>
                <w:kern w:val="22"/>
                <w:szCs w:val="22"/>
              </w:rPr>
              <w:t>ABS-CH</w:t>
            </w:r>
          </w:p>
        </w:tc>
      </w:tr>
      <w:tr w:rsidR="0038613F" w:rsidRPr="00A1040E" w14:paraId="56B78A9C" w14:textId="77777777" w:rsidTr="00EA1A55">
        <w:trPr>
          <w:cantSplit/>
          <w:jc w:val="center"/>
        </w:trPr>
        <w:tc>
          <w:tcPr>
            <w:tcW w:w="5552" w:type="dxa"/>
            <w:shd w:val="clear" w:color="auto" w:fill="auto"/>
            <w:tcMar>
              <w:top w:w="29" w:type="dxa"/>
              <w:left w:w="115" w:type="dxa"/>
              <w:bottom w:w="29" w:type="dxa"/>
              <w:right w:w="115" w:type="dxa"/>
            </w:tcMar>
          </w:tcPr>
          <w:p w14:paraId="287FBBA1" w14:textId="77777777" w:rsidR="0038613F" w:rsidRPr="00C649EC" w:rsidRDefault="0038613F">
            <w:pPr>
              <w:suppressLineNumbers/>
              <w:suppressAutoHyphens/>
              <w:kinsoku w:val="0"/>
              <w:overflowPunct w:val="0"/>
              <w:autoSpaceDE w:val="0"/>
              <w:autoSpaceDN w:val="0"/>
              <w:adjustRightInd w:val="0"/>
              <w:snapToGrid w:val="0"/>
              <w:ind w:left="314" w:hanging="360"/>
              <w:rPr>
                <w:rFonts w:eastAsia="Calibri"/>
                <w:color w:val="000000"/>
                <w:kern w:val="22"/>
                <w:szCs w:val="22"/>
                <w:u w:color="000000"/>
              </w:rPr>
            </w:pPr>
            <w:r w:rsidRPr="00A1040E">
              <w:rPr>
                <w:rFonts w:eastAsia="Calibri"/>
                <w:color w:val="000000"/>
                <w:kern w:val="22"/>
                <w:szCs w:val="22"/>
                <w:u w:color="000000"/>
              </w:rPr>
              <w:t>7.</w:t>
            </w:r>
            <w:r w:rsidRPr="00A1040E">
              <w:rPr>
                <w:rFonts w:eastAsia="Calibri"/>
                <w:color w:val="000000"/>
                <w:kern w:val="22"/>
                <w:szCs w:val="22"/>
                <w:u w:color="000000"/>
              </w:rPr>
              <w:tab/>
            </w:r>
            <w:r w:rsidRPr="0052359B">
              <w:rPr>
                <w:rFonts w:eastAsia="Calibri"/>
                <w:i/>
                <w:color w:val="000000"/>
                <w:kern w:val="22"/>
                <w:szCs w:val="22"/>
                <w:u w:color="000000"/>
              </w:rPr>
              <w:t>New:</w:t>
            </w:r>
            <w:r w:rsidRPr="0052359B">
              <w:rPr>
                <w:rFonts w:eastAsia="Calibri"/>
                <w:color w:val="000000"/>
                <w:kern w:val="22"/>
                <w:szCs w:val="22"/>
                <w:u w:color="000000"/>
              </w:rPr>
              <w:t xml:space="preserve"> Number and percentage of Parties that have issued </w:t>
            </w:r>
            <w:r w:rsidRPr="008964A8">
              <w:rPr>
                <w:rFonts w:eastAsia="SimSun"/>
                <w:kern w:val="22"/>
                <w:szCs w:val="22"/>
              </w:rPr>
              <w:t>permits or their equivalents</w:t>
            </w:r>
          </w:p>
        </w:tc>
        <w:tc>
          <w:tcPr>
            <w:tcW w:w="1104" w:type="dxa"/>
            <w:shd w:val="clear" w:color="auto" w:fill="auto"/>
            <w:tcMar>
              <w:top w:w="29" w:type="dxa"/>
              <w:left w:w="115" w:type="dxa"/>
              <w:bottom w:w="29" w:type="dxa"/>
              <w:right w:w="115" w:type="dxa"/>
            </w:tcMar>
            <w:vAlign w:val="center"/>
          </w:tcPr>
          <w:p w14:paraId="474DDDA3"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Malgun Gothic"/>
                <w:kern w:val="22"/>
                <w:szCs w:val="22"/>
              </w:rPr>
              <w:t>(a)</w:t>
            </w:r>
          </w:p>
        </w:tc>
        <w:tc>
          <w:tcPr>
            <w:tcW w:w="1506" w:type="dxa"/>
            <w:shd w:val="clear" w:color="auto" w:fill="auto"/>
            <w:tcMar>
              <w:top w:w="29" w:type="dxa"/>
              <w:left w:w="115" w:type="dxa"/>
              <w:bottom w:w="29" w:type="dxa"/>
              <w:right w:w="115" w:type="dxa"/>
            </w:tcMar>
            <w:vAlign w:val="center"/>
          </w:tcPr>
          <w:p w14:paraId="113CA15E"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19 (18%)</w:t>
            </w:r>
          </w:p>
        </w:tc>
        <w:tc>
          <w:tcPr>
            <w:tcW w:w="1321" w:type="dxa"/>
            <w:shd w:val="clear" w:color="auto" w:fill="auto"/>
            <w:tcMar>
              <w:top w:w="29" w:type="dxa"/>
              <w:left w:w="115" w:type="dxa"/>
              <w:bottom w:w="29" w:type="dxa"/>
              <w:right w:w="115" w:type="dxa"/>
            </w:tcMar>
            <w:vAlign w:val="center"/>
          </w:tcPr>
          <w:p w14:paraId="5E073CE2" w14:textId="77777777" w:rsidR="0038613F" w:rsidRPr="00B31519" w:rsidRDefault="0038613F">
            <w:pPr>
              <w:suppressLineNumbers/>
              <w:suppressAutoHyphens/>
              <w:kinsoku w:val="0"/>
              <w:overflowPunct w:val="0"/>
              <w:autoSpaceDE w:val="0"/>
              <w:autoSpaceDN w:val="0"/>
              <w:adjustRightInd w:val="0"/>
              <w:snapToGrid w:val="0"/>
              <w:jc w:val="left"/>
              <w:rPr>
                <w:rFonts w:eastAsia="Calibri"/>
                <w:color w:val="000000"/>
                <w:kern w:val="22"/>
                <w:szCs w:val="22"/>
                <w:u w:color="000000"/>
              </w:rPr>
            </w:pPr>
            <w:r w:rsidRPr="00B31519">
              <w:rPr>
                <w:rFonts w:eastAsia="Calibri"/>
                <w:color w:val="000000"/>
                <w:kern w:val="22"/>
                <w:szCs w:val="22"/>
                <w:u w:color="000000"/>
              </w:rPr>
              <w:t>NR format requires revision</w:t>
            </w:r>
          </w:p>
        </w:tc>
      </w:tr>
      <w:tr w:rsidR="0038613F" w:rsidRPr="00A1040E" w14:paraId="215E8888" w14:textId="77777777" w:rsidTr="00EA1A55">
        <w:trPr>
          <w:cantSplit/>
          <w:jc w:val="center"/>
        </w:trPr>
        <w:tc>
          <w:tcPr>
            <w:tcW w:w="5552" w:type="dxa"/>
            <w:shd w:val="clear" w:color="auto" w:fill="auto"/>
            <w:tcMar>
              <w:top w:w="29" w:type="dxa"/>
              <w:left w:w="115" w:type="dxa"/>
              <w:bottom w:w="29" w:type="dxa"/>
              <w:right w:w="115" w:type="dxa"/>
            </w:tcMar>
          </w:tcPr>
          <w:p w14:paraId="5A4D5AB6" w14:textId="1632F5FE" w:rsidR="0038613F" w:rsidRPr="008964A8" w:rsidRDefault="0038613F">
            <w:pPr>
              <w:suppressLineNumbers/>
              <w:suppressAutoHyphens/>
              <w:kinsoku w:val="0"/>
              <w:overflowPunct w:val="0"/>
              <w:autoSpaceDE w:val="0"/>
              <w:autoSpaceDN w:val="0"/>
              <w:adjustRightInd w:val="0"/>
              <w:snapToGrid w:val="0"/>
              <w:ind w:left="314" w:hanging="360"/>
              <w:rPr>
                <w:rFonts w:eastAsia="Calibri"/>
                <w:color w:val="000000"/>
                <w:kern w:val="22"/>
                <w:szCs w:val="22"/>
                <w:u w:color="000000"/>
              </w:rPr>
            </w:pPr>
            <w:r w:rsidRPr="00A1040E">
              <w:rPr>
                <w:rFonts w:eastAsia="Calibri"/>
                <w:color w:val="000000"/>
                <w:kern w:val="22"/>
                <w:szCs w:val="22"/>
                <w:u w:color="000000"/>
              </w:rPr>
              <w:t>8.</w:t>
            </w:r>
            <w:r w:rsidRPr="00A1040E">
              <w:rPr>
                <w:rFonts w:eastAsia="Calibri"/>
                <w:color w:val="000000"/>
                <w:kern w:val="22"/>
                <w:szCs w:val="22"/>
                <w:u w:color="000000"/>
              </w:rPr>
              <w:tab/>
              <w:t xml:space="preserve">Number and percentage of </w:t>
            </w:r>
            <w:r w:rsidRPr="0052359B">
              <w:rPr>
                <w:rFonts w:eastAsia="Calibri"/>
                <w:color w:val="000000"/>
                <w:kern w:val="22"/>
                <w:szCs w:val="22"/>
                <w:u w:color="000000"/>
              </w:rPr>
              <w:t>Parties that have published internationally recogni</w:t>
            </w:r>
            <w:r w:rsidR="00120DBE">
              <w:rPr>
                <w:rFonts w:eastAsia="Calibri"/>
                <w:color w:val="000000"/>
                <w:kern w:val="22"/>
                <w:szCs w:val="22"/>
                <w:u w:color="000000"/>
              </w:rPr>
              <w:t>z</w:t>
            </w:r>
            <w:r w:rsidRPr="0052359B">
              <w:rPr>
                <w:rFonts w:eastAsia="Calibri"/>
                <w:color w:val="000000"/>
                <w:kern w:val="22"/>
                <w:szCs w:val="22"/>
                <w:u w:color="000000"/>
              </w:rPr>
              <w:t>ed certificates of compliance (IRCC</w:t>
            </w:r>
            <w:r w:rsidR="00120DBE">
              <w:rPr>
                <w:rFonts w:eastAsia="Calibri"/>
                <w:color w:val="000000"/>
                <w:kern w:val="22"/>
                <w:szCs w:val="22"/>
                <w:u w:color="000000"/>
              </w:rPr>
              <w:t>s</w:t>
            </w:r>
            <w:r w:rsidRPr="0052359B">
              <w:rPr>
                <w:rFonts w:eastAsia="Calibri"/>
                <w:color w:val="000000"/>
                <w:kern w:val="22"/>
                <w:szCs w:val="22"/>
                <w:u w:color="000000"/>
              </w:rPr>
              <w:t>) in the ABS Clearing-House</w:t>
            </w:r>
          </w:p>
        </w:tc>
        <w:tc>
          <w:tcPr>
            <w:tcW w:w="1104" w:type="dxa"/>
            <w:shd w:val="clear" w:color="auto" w:fill="auto"/>
            <w:tcMar>
              <w:top w:w="29" w:type="dxa"/>
              <w:left w:w="115" w:type="dxa"/>
              <w:bottom w:w="29" w:type="dxa"/>
              <w:right w:w="115" w:type="dxa"/>
            </w:tcMar>
            <w:vAlign w:val="center"/>
          </w:tcPr>
          <w:p w14:paraId="649DE25D"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Malgun Gothic"/>
                <w:kern w:val="22"/>
                <w:szCs w:val="22"/>
              </w:rPr>
              <w:t>(b) (g)</w:t>
            </w:r>
          </w:p>
        </w:tc>
        <w:tc>
          <w:tcPr>
            <w:tcW w:w="1506" w:type="dxa"/>
            <w:shd w:val="clear" w:color="auto" w:fill="auto"/>
            <w:tcMar>
              <w:top w:w="29" w:type="dxa"/>
              <w:left w:w="115" w:type="dxa"/>
              <w:bottom w:w="29" w:type="dxa"/>
              <w:right w:w="115" w:type="dxa"/>
            </w:tcMar>
            <w:vAlign w:val="center"/>
          </w:tcPr>
          <w:p w14:paraId="1801F95B"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12 (11%)</w:t>
            </w:r>
          </w:p>
        </w:tc>
        <w:tc>
          <w:tcPr>
            <w:tcW w:w="1321" w:type="dxa"/>
            <w:shd w:val="clear" w:color="auto" w:fill="auto"/>
            <w:tcMar>
              <w:top w:w="29" w:type="dxa"/>
              <w:left w:w="115" w:type="dxa"/>
              <w:bottom w:w="29" w:type="dxa"/>
              <w:right w:w="115" w:type="dxa"/>
            </w:tcMar>
            <w:vAlign w:val="center"/>
          </w:tcPr>
          <w:p w14:paraId="1EC7DD4B" w14:textId="77777777" w:rsidR="0038613F" w:rsidRPr="00B31519" w:rsidRDefault="0038613F">
            <w:pPr>
              <w:suppressLineNumbers/>
              <w:suppressAutoHyphens/>
              <w:kinsoku w:val="0"/>
              <w:overflowPunct w:val="0"/>
              <w:autoSpaceDE w:val="0"/>
              <w:autoSpaceDN w:val="0"/>
              <w:adjustRightInd w:val="0"/>
              <w:snapToGrid w:val="0"/>
              <w:jc w:val="left"/>
              <w:rPr>
                <w:rFonts w:eastAsia="Calibri"/>
                <w:color w:val="000000"/>
                <w:kern w:val="22"/>
                <w:szCs w:val="22"/>
                <w:u w:color="000000"/>
              </w:rPr>
            </w:pPr>
            <w:r w:rsidRPr="00B31519">
              <w:rPr>
                <w:rFonts w:eastAsia="Calibri"/>
                <w:color w:val="000000"/>
                <w:kern w:val="22"/>
                <w:szCs w:val="22"/>
                <w:u w:color="000000"/>
              </w:rPr>
              <w:t xml:space="preserve">Q.7, 8,16 </w:t>
            </w:r>
          </w:p>
          <w:p w14:paraId="748159CA" w14:textId="77777777" w:rsidR="0038613F" w:rsidRPr="00A1040E" w:rsidRDefault="0038613F">
            <w:pPr>
              <w:suppressLineNumbers/>
              <w:suppressAutoHyphens/>
              <w:kinsoku w:val="0"/>
              <w:overflowPunct w:val="0"/>
              <w:autoSpaceDE w:val="0"/>
              <w:autoSpaceDN w:val="0"/>
              <w:adjustRightInd w:val="0"/>
              <w:snapToGrid w:val="0"/>
              <w:jc w:val="left"/>
              <w:rPr>
                <w:rFonts w:eastAsia="Calibri"/>
                <w:color w:val="000000"/>
                <w:kern w:val="22"/>
                <w:szCs w:val="22"/>
                <w:u w:color="000000"/>
              </w:rPr>
            </w:pPr>
            <w:r w:rsidRPr="00A1040E">
              <w:rPr>
                <w:rFonts w:eastAsia="Calibri"/>
                <w:color w:val="000000"/>
                <w:kern w:val="22"/>
                <w:szCs w:val="22"/>
                <w:u w:color="000000"/>
              </w:rPr>
              <w:t>ABS-CH</w:t>
            </w:r>
          </w:p>
        </w:tc>
      </w:tr>
      <w:tr w:rsidR="0038613F" w:rsidRPr="00A1040E" w14:paraId="4867EC28" w14:textId="77777777" w:rsidTr="00EA1A55">
        <w:trPr>
          <w:cantSplit/>
          <w:jc w:val="center"/>
        </w:trPr>
        <w:tc>
          <w:tcPr>
            <w:tcW w:w="5552" w:type="dxa"/>
            <w:shd w:val="clear" w:color="auto" w:fill="auto"/>
            <w:tcMar>
              <w:top w:w="29" w:type="dxa"/>
              <w:left w:w="115" w:type="dxa"/>
              <w:bottom w:w="29" w:type="dxa"/>
              <w:right w:w="115" w:type="dxa"/>
            </w:tcMar>
          </w:tcPr>
          <w:p w14:paraId="42A87D7B" w14:textId="6AE2F8AB" w:rsidR="0038613F" w:rsidRPr="0052359B"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9.</w:t>
            </w:r>
            <w:r w:rsidRPr="00A1040E">
              <w:rPr>
                <w:rFonts w:eastAsia="SimSun"/>
                <w:kern w:val="22"/>
                <w:szCs w:val="22"/>
              </w:rPr>
              <w:tab/>
              <w:t>Number of IRCC</w:t>
            </w:r>
            <w:r w:rsidR="00120DBE">
              <w:rPr>
                <w:rFonts w:eastAsia="SimSun"/>
                <w:kern w:val="22"/>
                <w:szCs w:val="22"/>
              </w:rPr>
              <w:t>s</w:t>
            </w:r>
            <w:r w:rsidRPr="00A1040E">
              <w:rPr>
                <w:rFonts w:eastAsia="SimSun"/>
                <w:kern w:val="22"/>
                <w:szCs w:val="22"/>
              </w:rPr>
              <w:t xml:space="preserve"> available in the ABS Clearing-House</w:t>
            </w:r>
          </w:p>
        </w:tc>
        <w:tc>
          <w:tcPr>
            <w:tcW w:w="1104" w:type="dxa"/>
            <w:shd w:val="clear" w:color="auto" w:fill="auto"/>
            <w:tcMar>
              <w:top w:w="29" w:type="dxa"/>
              <w:left w:w="115" w:type="dxa"/>
              <w:bottom w:w="29" w:type="dxa"/>
              <w:right w:w="115" w:type="dxa"/>
            </w:tcMar>
            <w:vAlign w:val="center"/>
          </w:tcPr>
          <w:p w14:paraId="54E2BABD" w14:textId="77777777" w:rsidR="0038613F" w:rsidRPr="008964A8" w:rsidRDefault="0038613F">
            <w:pPr>
              <w:suppressLineNumbers/>
              <w:suppressAutoHyphens/>
              <w:kinsoku w:val="0"/>
              <w:overflowPunct w:val="0"/>
              <w:autoSpaceDE w:val="0"/>
              <w:autoSpaceDN w:val="0"/>
              <w:adjustRightInd w:val="0"/>
              <w:snapToGrid w:val="0"/>
              <w:jc w:val="center"/>
              <w:rPr>
                <w:rFonts w:eastAsia="Calibri"/>
                <w:kern w:val="22"/>
                <w:szCs w:val="22"/>
              </w:rPr>
            </w:pPr>
            <w:r w:rsidRPr="008964A8">
              <w:rPr>
                <w:rFonts w:eastAsia="Malgun Gothic"/>
                <w:kern w:val="22"/>
                <w:szCs w:val="22"/>
              </w:rPr>
              <w:t>(g)</w:t>
            </w:r>
          </w:p>
        </w:tc>
        <w:tc>
          <w:tcPr>
            <w:tcW w:w="1506" w:type="dxa"/>
            <w:shd w:val="clear" w:color="auto" w:fill="auto"/>
            <w:tcMar>
              <w:top w:w="29" w:type="dxa"/>
              <w:left w:w="115" w:type="dxa"/>
              <w:bottom w:w="29" w:type="dxa"/>
              <w:right w:w="115" w:type="dxa"/>
            </w:tcMar>
            <w:vAlign w:val="center"/>
          </w:tcPr>
          <w:p w14:paraId="1922C372"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146</w:t>
            </w:r>
          </w:p>
        </w:tc>
        <w:tc>
          <w:tcPr>
            <w:tcW w:w="1321" w:type="dxa"/>
            <w:shd w:val="clear" w:color="auto" w:fill="auto"/>
            <w:tcMar>
              <w:top w:w="29" w:type="dxa"/>
              <w:left w:w="115" w:type="dxa"/>
              <w:bottom w:w="29" w:type="dxa"/>
              <w:right w:w="115" w:type="dxa"/>
            </w:tcMar>
            <w:vAlign w:val="center"/>
          </w:tcPr>
          <w:p w14:paraId="65B0BDA2" w14:textId="77777777" w:rsidR="0038613F" w:rsidRPr="00A57937" w:rsidRDefault="0038613F">
            <w:pPr>
              <w:suppressLineNumbers/>
              <w:suppressAutoHyphens/>
              <w:kinsoku w:val="0"/>
              <w:overflowPunct w:val="0"/>
              <w:autoSpaceDE w:val="0"/>
              <w:autoSpaceDN w:val="0"/>
              <w:adjustRightInd w:val="0"/>
              <w:snapToGrid w:val="0"/>
              <w:jc w:val="left"/>
              <w:rPr>
                <w:rFonts w:eastAsia="SimSun"/>
                <w:kern w:val="22"/>
                <w:szCs w:val="22"/>
              </w:rPr>
            </w:pPr>
            <w:r w:rsidRPr="00A57937">
              <w:rPr>
                <w:rFonts w:eastAsia="SimSun"/>
                <w:kern w:val="22"/>
                <w:szCs w:val="22"/>
              </w:rPr>
              <w:t>ABS-CH</w:t>
            </w:r>
          </w:p>
        </w:tc>
      </w:tr>
      <w:tr w:rsidR="0038613F" w:rsidRPr="00A1040E" w14:paraId="1013D196" w14:textId="77777777" w:rsidTr="00EA1A55">
        <w:trPr>
          <w:cantSplit/>
          <w:jc w:val="center"/>
        </w:trPr>
        <w:tc>
          <w:tcPr>
            <w:tcW w:w="5552" w:type="dxa"/>
            <w:shd w:val="clear" w:color="auto" w:fill="auto"/>
            <w:tcMar>
              <w:top w:w="29" w:type="dxa"/>
              <w:left w:w="115" w:type="dxa"/>
              <w:bottom w:w="29" w:type="dxa"/>
              <w:right w:w="115" w:type="dxa"/>
            </w:tcMar>
          </w:tcPr>
          <w:p w14:paraId="55DBA17B"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Malgun Gothic"/>
                <w:kern w:val="22"/>
                <w:szCs w:val="22"/>
              </w:rPr>
            </w:pPr>
            <w:r w:rsidRPr="00A1040E">
              <w:rPr>
                <w:rFonts w:eastAsia="Malgun Gothic"/>
                <w:kern w:val="22"/>
                <w:szCs w:val="22"/>
              </w:rPr>
              <w:t>10.</w:t>
            </w:r>
            <w:r w:rsidRPr="00A1040E">
              <w:rPr>
                <w:rFonts w:eastAsia="Malgun Gothic"/>
                <w:kern w:val="22"/>
                <w:szCs w:val="22"/>
              </w:rPr>
              <w:tab/>
              <w:t xml:space="preserve">Number and percentage of </w:t>
            </w:r>
            <w:r w:rsidRPr="0052359B">
              <w:rPr>
                <w:rFonts w:eastAsia="Malgun Gothic"/>
                <w:kern w:val="22"/>
                <w:szCs w:val="22"/>
              </w:rPr>
              <w:t>Parties with one or more checkpoints</w:t>
            </w:r>
          </w:p>
        </w:tc>
        <w:tc>
          <w:tcPr>
            <w:tcW w:w="1104" w:type="dxa"/>
            <w:shd w:val="clear" w:color="auto" w:fill="auto"/>
            <w:tcMar>
              <w:top w:w="29" w:type="dxa"/>
              <w:left w:w="115" w:type="dxa"/>
              <w:bottom w:w="29" w:type="dxa"/>
              <w:right w:w="115" w:type="dxa"/>
            </w:tcMar>
            <w:vAlign w:val="center"/>
          </w:tcPr>
          <w:p w14:paraId="65CEDB8D"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Malgun Gothic"/>
                <w:kern w:val="22"/>
                <w:szCs w:val="22"/>
              </w:rPr>
              <w:t>(a)</w:t>
            </w:r>
          </w:p>
        </w:tc>
        <w:tc>
          <w:tcPr>
            <w:tcW w:w="1506" w:type="dxa"/>
            <w:shd w:val="clear" w:color="auto" w:fill="auto"/>
            <w:tcMar>
              <w:top w:w="29" w:type="dxa"/>
              <w:left w:w="115" w:type="dxa"/>
              <w:bottom w:w="29" w:type="dxa"/>
              <w:right w:w="115" w:type="dxa"/>
            </w:tcMar>
            <w:vAlign w:val="center"/>
          </w:tcPr>
          <w:p w14:paraId="4BC99154"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29 (27%)</w:t>
            </w:r>
          </w:p>
        </w:tc>
        <w:tc>
          <w:tcPr>
            <w:tcW w:w="1321" w:type="dxa"/>
            <w:shd w:val="clear" w:color="auto" w:fill="auto"/>
            <w:tcMar>
              <w:top w:w="29" w:type="dxa"/>
              <w:left w:w="115" w:type="dxa"/>
              <w:bottom w:w="29" w:type="dxa"/>
              <w:right w:w="115" w:type="dxa"/>
            </w:tcMar>
            <w:vAlign w:val="center"/>
          </w:tcPr>
          <w:p w14:paraId="0ED92CF1" w14:textId="77777777" w:rsidR="0038613F" w:rsidRPr="00B31519"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B31519">
              <w:rPr>
                <w:rFonts w:eastAsia="Malgun Gothic"/>
                <w:kern w:val="22"/>
                <w:szCs w:val="22"/>
              </w:rPr>
              <w:t>Q.9 ABS-CH CBD report</w:t>
            </w:r>
          </w:p>
          <w:p w14:paraId="3C9DE2D5" w14:textId="77777777" w:rsidR="0038613F" w:rsidRPr="00A1040E"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A1040E">
              <w:rPr>
                <w:rFonts w:eastAsia="Malgun Gothic"/>
                <w:kern w:val="22"/>
                <w:szCs w:val="22"/>
              </w:rPr>
              <w:t>NBSAP</w:t>
            </w:r>
          </w:p>
        </w:tc>
      </w:tr>
      <w:tr w:rsidR="0038613F" w:rsidRPr="00A1040E" w14:paraId="4F0B2AF3" w14:textId="77777777" w:rsidTr="00EA1A55">
        <w:trPr>
          <w:cantSplit/>
          <w:jc w:val="center"/>
        </w:trPr>
        <w:tc>
          <w:tcPr>
            <w:tcW w:w="5552" w:type="dxa"/>
            <w:shd w:val="clear" w:color="auto" w:fill="auto"/>
            <w:tcMar>
              <w:top w:w="29" w:type="dxa"/>
              <w:left w:w="115" w:type="dxa"/>
              <w:bottom w:w="29" w:type="dxa"/>
              <w:right w:w="115" w:type="dxa"/>
            </w:tcMar>
          </w:tcPr>
          <w:p w14:paraId="635C108D"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Malgun Gothic"/>
                <w:kern w:val="22"/>
                <w:szCs w:val="22"/>
              </w:rPr>
            </w:pPr>
            <w:r w:rsidRPr="00A1040E">
              <w:rPr>
                <w:rFonts w:eastAsia="Malgun Gothic"/>
                <w:kern w:val="22"/>
                <w:szCs w:val="22"/>
              </w:rPr>
              <w:t>11.</w:t>
            </w:r>
            <w:r w:rsidRPr="00A1040E">
              <w:rPr>
                <w:rFonts w:eastAsia="Malgun Gothic"/>
                <w:kern w:val="22"/>
                <w:szCs w:val="22"/>
              </w:rPr>
              <w:tab/>
              <w:t>Number and percentage of Parties that have published information on checkpoints</w:t>
            </w:r>
          </w:p>
        </w:tc>
        <w:tc>
          <w:tcPr>
            <w:tcW w:w="1104" w:type="dxa"/>
            <w:shd w:val="clear" w:color="auto" w:fill="auto"/>
            <w:tcMar>
              <w:top w:w="29" w:type="dxa"/>
              <w:left w:w="115" w:type="dxa"/>
              <w:bottom w:w="29" w:type="dxa"/>
              <w:right w:w="115" w:type="dxa"/>
            </w:tcMar>
            <w:vAlign w:val="center"/>
          </w:tcPr>
          <w:p w14:paraId="5DF3DFBE" w14:textId="77777777" w:rsidR="0038613F" w:rsidRPr="00C649EC" w:rsidRDefault="0038613F">
            <w:pPr>
              <w:suppressLineNumbers/>
              <w:suppressAutoHyphens/>
              <w:kinsoku w:val="0"/>
              <w:overflowPunct w:val="0"/>
              <w:autoSpaceDE w:val="0"/>
              <w:autoSpaceDN w:val="0"/>
              <w:adjustRightInd w:val="0"/>
              <w:snapToGrid w:val="0"/>
              <w:jc w:val="center"/>
              <w:rPr>
                <w:rFonts w:eastAsia="Malgun Gothic"/>
                <w:kern w:val="22"/>
                <w:szCs w:val="22"/>
              </w:rPr>
            </w:pPr>
            <w:r w:rsidRPr="00C649EC">
              <w:rPr>
                <w:rFonts w:eastAsia="Malgun Gothic"/>
                <w:kern w:val="22"/>
                <w:szCs w:val="22"/>
              </w:rPr>
              <w:t>(g)</w:t>
            </w:r>
          </w:p>
        </w:tc>
        <w:tc>
          <w:tcPr>
            <w:tcW w:w="1506" w:type="dxa"/>
            <w:shd w:val="clear" w:color="auto" w:fill="auto"/>
            <w:tcMar>
              <w:top w:w="29" w:type="dxa"/>
              <w:left w:w="115" w:type="dxa"/>
              <w:bottom w:w="29" w:type="dxa"/>
              <w:right w:w="115" w:type="dxa"/>
            </w:tcMar>
            <w:vAlign w:val="center"/>
          </w:tcPr>
          <w:p w14:paraId="6FDB52CA"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20 (19%)</w:t>
            </w:r>
          </w:p>
        </w:tc>
        <w:tc>
          <w:tcPr>
            <w:tcW w:w="1321" w:type="dxa"/>
            <w:shd w:val="clear" w:color="auto" w:fill="auto"/>
            <w:tcMar>
              <w:top w:w="29" w:type="dxa"/>
              <w:left w:w="115" w:type="dxa"/>
              <w:bottom w:w="29" w:type="dxa"/>
              <w:right w:w="115" w:type="dxa"/>
            </w:tcMar>
            <w:vAlign w:val="center"/>
          </w:tcPr>
          <w:p w14:paraId="4C03F642" w14:textId="77777777" w:rsidR="0038613F" w:rsidRPr="00B31519"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B31519">
              <w:rPr>
                <w:rFonts w:eastAsia="Malgun Gothic"/>
                <w:kern w:val="22"/>
                <w:szCs w:val="22"/>
              </w:rPr>
              <w:t>ABS-CH</w:t>
            </w:r>
          </w:p>
        </w:tc>
      </w:tr>
      <w:tr w:rsidR="0038613F" w:rsidRPr="00A1040E" w14:paraId="3B1A465B" w14:textId="77777777" w:rsidTr="00EA1A55">
        <w:trPr>
          <w:cantSplit/>
          <w:jc w:val="center"/>
        </w:trPr>
        <w:tc>
          <w:tcPr>
            <w:tcW w:w="5552" w:type="dxa"/>
            <w:shd w:val="clear" w:color="auto" w:fill="auto"/>
            <w:tcMar>
              <w:top w:w="29" w:type="dxa"/>
              <w:left w:w="115" w:type="dxa"/>
              <w:bottom w:w="29" w:type="dxa"/>
              <w:right w:w="115" w:type="dxa"/>
            </w:tcMar>
          </w:tcPr>
          <w:p w14:paraId="7A7B9878"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Malgun Gothic"/>
                <w:kern w:val="22"/>
                <w:szCs w:val="22"/>
              </w:rPr>
            </w:pPr>
            <w:r w:rsidRPr="00A1040E">
              <w:rPr>
                <w:rFonts w:eastAsia="Malgun Gothic"/>
                <w:kern w:val="22"/>
                <w:szCs w:val="22"/>
              </w:rPr>
              <w:t>12.</w:t>
            </w:r>
            <w:r w:rsidRPr="00A1040E">
              <w:rPr>
                <w:rFonts w:eastAsia="Malgun Gothic"/>
                <w:kern w:val="22"/>
                <w:szCs w:val="22"/>
              </w:rPr>
              <w:tab/>
              <w:t xml:space="preserve">Number and percentage of Parties that have made information </w:t>
            </w:r>
            <w:r w:rsidRPr="008964A8">
              <w:rPr>
                <w:rFonts w:eastAsia="Malgun Gothic"/>
                <w:kern w:val="22"/>
                <w:szCs w:val="22"/>
              </w:rPr>
              <w:t>available to the ABS Clearing-House (CNA, checkpoint, ABS measures, IRCC)</w:t>
            </w:r>
          </w:p>
        </w:tc>
        <w:tc>
          <w:tcPr>
            <w:tcW w:w="1104" w:type="dxa"/>
            <w:shd w:val="clear" w:color="auto" w:fill="auto"/>
            <w:tcMar>
              <w:top w:w="29" w:type="dxa"/>
              <w:left w:w="115" w:type="dxa"/>
              <w:bottom w:w="29" w:type="dxa"/>
              <w:right w:w="115" w:type="dxa"/>
            </w:tcMar>
            <w:vAlign w:val="center"/>
          </w:tcPr>
          <w:p w14:paraId="72953EE2"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Malgun Gothic"/>
                <w:kern w:val="22"/>
                <w:szCs w:val="22"/>
              </w:rPr>
              <w:t>(a)(g)</w:t>
            </w:r>
          </w:p>
        </w:tc>
        <w:tc>
          <w:tcPr>
            <w:tcW w:w="1506" w:type="dxa"/>
            <w:shd w:val="clear" w:color="auto" w:fill="auto"/>
            <w:tcMar>
              <w:top w:w="29" w:type="dxa"/>
              <w:left w:w="115" w:type="dxa"/>
              <w:bottom w:w="29" w:type="dxa"/>
              <w:right w:w="115" w:type="dxa"/>
            </w:tcMar>
            <w:vAlign w:val="center"/>
          </w:tcPr>
          <w:p w14:paraId="629A57B7"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54 (51%)</w:t>
            </w:r>
          </w:p>
        </w:tc>
        <w:tc>
          <w:tcPr>
            <w:tcW w:w="1321" w:type="dxa"/>
            <w:shd w:val="clear" w:color="auto" w:fill="auto"/>
            <w:tcMar>
              <w:top w:w="29" w:type="dxa"/>
              <w:left w:w="115" w:type="dxa"/>
              <w:bottom w:w="29" w:type="dxa"/>
              <w:right w:w="115" w:type="dxa"/>
            </w:tcMar>
            <w:vAlign w:val="center"/>
          </w:tcPr>
          <w:p w14:paraId="5623EBCF" w14:textId="77777777" w:rsidR="0038613F" w:rsidRPr="00B31519"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B31519">
              <w:rPr>
                <w:rFonts w:eastAsia="Malgun Gothic"/>
                <w:kern w:val="22"/>
                <w:szCs w:val="22"/>
              </w:rPr>
              <w:t>Q.3 ABS-CH</w:t>
            </w:r>
          </w:p>
        </w:tc>
      </w:tr>
      <w:tr w:rsidR="0038613F" w:rsidRPr="00A1040E" w14:paraId="54FC885E" w14:textId="77777777"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7A09E8F2"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13.</w:t>
            </w:r>
            <w:r w:rsidRPr="00A1040E">
              <w:rPr>
                <w:rFonts w:eastAsia="SimSun"/>
                <w:kern w:val="22"/>
                <w:szCs w:val="22"/>
              </w:rPr>
              <w:tab/>
            </w:r>
            <w:r w:rsidRPr="0052359B">
              <w:rPr>
                <w:rFonts w:eastAsia="Malgun Gothic"/>
                <w:kern w:val="22"/>
                <w:szCs w:val="22"/>
              </w:rPr>
              <w:t>Number and percentage of Parties that have information (CNA, checkpoint, ABS measures, permits) t</w:t>
            </w:r>
            <w:r w:rsidRPr="008964A8">
              <w:rPr>
                <w:rFonts w:eastAsia="SimSun"/>
                <w:kern w:val="22"/>
                <w:szCs w:val="22"/>
              </w:rPr>
              <w:t>hat have not yet been made available to the ABS Clearing-House</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693A8E96"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Malgun Gothic"/>
                <w:kern w:val="22"/>
                <w:szCs w:val="22"/>
              </w:rPr>
              <w:t>(a)(g)</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067D084E"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46 (44%)</w:t>
            </w:r>
          </w:p>
        </w:tc>
        <w:tc>
          <w:tcPr>
            <w:tcW w:w="1321" w:type="dxa"/>
            <w:tcBorders>
              <w:bottom w:val="single" w:sz="4" w:space="0" w:color="auto"/>
            </w:tcBorders>
            <w:shd w:val="clear" w:color="auto" w:fill="auto"/>
            <w:tcMar>
              <w:top w:w="29" w:type="dxa"/>
              <w:left w:w="115" w:type="dxa"/>
              <w:bottom w:w="29" w:type="dxa"/>
              <w:right w:w="115" w:type="dxa"/>
            </w:tcMar>
            <w:vAlign w:val="center"/>
          </w:tcPr>
          <w:p w14:paraId="05B45CD3" w14:textId="77777777" w:rsidR="0038613F" w:rsidRPr="00B31519"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B31519">
              <w:rPr>
                <w:rFonts w:eastAsia="Malgun Gothic"/>
                <w:kern w:val="22"/>
                <w:szCs w:val="22"/>
              </w:rPr>
              <w:t>Q.4, 6, 9 ABS-CH CBD report</w:t>
            </w:r>
          </w:p>
          <w:p w14:paraId="7359BEE0" w14:textId="77777777" w:rsidR="0038613F" w:rsidRPr="00A1040E"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A1040E">
              <w:rPr>
                <w:rFonts w:eastAsia="Malgun Gothic"/>
                <w:kern w:val="22"/>
                <w:szCs w:val="22"/>
              </w:rPr>
              <w:t>NBSAP</w:t>
            </w:r>
          </w:p>
        </w:tc>
      </w:tr>
      <w:tr w:rsidR="0038613F" w:rsidRPr="00A1040E" w14:paraId="15A5DC46" w14:textId="77777777" w:rsidTr="00EA1A55">
        <w:trPr>
          <w:cantSplit/>
          <w:jc w:val="center"/>
        </w:trPr>
        <w:tc>
          <w:tcPr>
            <w:tcW w:w="9483" w:type="dxa"/>
            <w:gridSpan w:val="4"/>
            <w:shd w:val="pct5" w:color="auto" w:fill="auto"/>
            <w:tcMar>
              <w:top w:w="29" w:type="dxa"/>
              <w:left w:w="115" w:type="dxa"/>
              <w:bottom w:w="29" w:type="dxa"/>
              <w:right w:w="115" w:type="dxa"/>
            </w:tcMar>
            <w:vAlign w:val="center"/>
          </w:tcPr>
          <w:p w14:paraId="770854B0" w14:textId="77777777" w:rsidR="0038613F" w:rsidRPr="0052359B" w:rsidRDefault="0038613F">
            <w:pPr>
              <w:keepNext/>
              <w:suppressLineNumbers/>
              <w:suppressAutoHyphens/>
              <w:kinsoku w:val="0"/>
              <w:overflowPunct w:val="0"/>
              <w:autoSpaceDE w:val="0"/>
              <w:autoSpaceDN w:val="0"/>
              <w:adjustRightInd w:val="0"/>
              <w:snapToGrid w:val="0"/>
              <w:ind w:left="317"/>
              <w:jc w:val="left"/>
              <w:rPr>
                <w:rFonts w:eastAsia="SimSun"/>
                <w:b/>
                <w:kern w:val="22"/>
                <w:szCs w:val="22"/>
              </w:rPr>
            </w:pPr>
            <w:r w:rsidRPr="00A1040E">
              <w:rPr>
                <w:rFonts w:eastAsia="SimSun"/>
                <w:b/>
                <w:kern w:val="22"/>
                <w:szCs w:val="22"/>
              </w:rPr>
              <w:t>Legislative, administrative or policy measures on ABS: Access to genetic resources (Article 6)</w:t>
            </w:r>
          </w:p>
        </w:tc>
      </w:tr>
      <w:tr w:rsidR="0038613F" w:rsidRPr="00A1040E" w14:paraId="4B45B7C4" w14:textId="77777777" w:rsidTr="00EA1A55">
        <w:trPr>
          <w:cantSplit/>
          <w:jc w:val="center"/>
        </w:trPr>
        <w:tc>
          <w:tcPr>
            <w:tcW w:w="5552" w:type="dxa"/>
            <w:shd w:val="clear" w:color="auto" w:fill="auto"/>
            <w:tcMar>
              <w:top w:w="29" w:type="dxa"/>
              <w:left w:w="115" w:type="dxa"/>
              <w:bottom w:w="29" w:type="dxa"/>
              <w:right w:w="115" w:type="dxa"/>
            </w:tcMar>
          </w:tcPr>
          <w:p w14:paraId="1700387B"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14.</w:t>
            </w:r>
            <w:r w:rsidRPr="00A1040E">
              <w:rPr>
                <w:rFonts w:eastAsia="SimSun"/>
                <w:kern w:val="22"/>
                <w:szCs w:val="22"/>
              </w:rPr>
              <w:tab/>
              <w:t xml:space="preserve">Number and percentage of Parties requiring prior informed consent for access to genetic </w:t>
            </w:r>
            <w:r w:rsidRPr="008964A8">
              <w:rPr>
                <w:rFonts w:eastAsia="SimSun"/>
                <w:kern w:val="22"/>
                <w:szCs w:val="22"/>
              </w:rPr>
              <w:t>resources that provide information on how to apply for prior informed consent as provided in Article 6.3 (c)</w:t>
            </w:r>
          </w:p>
        </w:tc>
        <w:tc>
          <w:tcPr>
            <w:tcW w:w="1104" w:type="dxa"/>
            <w:shd w:val="clear" w:color="auto" w:fill="auto"/>
            <w:tcMar>
              <w:top w:w="29" w:type="dxa"/>
              <w:left w:w="115" w:type="dxa"/>
              <w:bottom w:w="29" w:type="dxa"/>
              <w:right w:w="115" w:type="dxa"/>
            </w:tcMar>
            <w:vAlign w:val="center"/>
          </w:tcPr>
          <w:p w14:paraId="7E83925C" w14:textId="77777777" w:rsidR="0038613F" w:rsidRPr="00C649EC" w:rsidRDefault="0038613F">
            <w:pPr>
              <w:suppressLineNumbers/>
              <w:suppressAutoHyphens/>
              <w:kinsoku w:val="0"/>
              <w:overflowPunct w:val="0"/>
              <w:autoSpaceDE w:val="0"/>
              <w:autoSpaceDN w:val="0"/>
              <w:adjustRightInd w:val="0"/>
              <w:snapToGrid w:val="0"/>
              <w:jc w:val="center"/>
              <w:rPr>
                <w:rFonts w:eastAsia="Malgun Gothic"/>
                <w:kern w:val="22"/>
                <w:szCs w:val="22"/>
              </w:rPr>
            </w:pPr>
            <w:r w:rsidRPr="00C649EC">
              <w:rPr>
                <w:rFonts w:eastAsia="Malgun Gothic"/>
                <w:kern w:val="22"/>
                <w:szCs w:val="22"/>
              </w:rPr>
              <w:t>(a) (b)</w:t>
            </w:r>
          </w:p>
        </w:tc>
        <w:tc>
          <w:tcPr>
            <w:tcW w:w="1506" w:type="dxa"/>
            <w:shd w:val="clear" w:color="auto" w:fill="auto"/>
            <w:tcMar>
              <w:top w:w="29" w:type="dxa"/>
              <w:left w:w="115" w:type="dxa"/>
              <w:bottom w:w="29" w:type="dxa"/>
              <w:right w:w="115" w:type="dxa"/>
            </w:tcMar>
            <w:vAlign w:val="center"/>
          </w:tcPr>
          <w:p w14:paraId="1892BECC"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27 (73%)</w:t>
            </w:r>
          </w:p>
        </w:tc>
        <w:tc>
          <w:tcPr>
            <w:tcW w:w="1321" w:type="dxa"/>
            <w:shd w:val="clear" w:color="auto" w:fill="auto"/>
            <w:tcMar>
              <w:top w:w="29" w:type="dxa"/>
              <w:left w:w="115" w:type="dxa"/>
              <w:bottom w:w="29" w:type="dxa"/>
              <w:right w:w="115" w:type="dxa"/>
            </w:tcMar>
            <w:vAlign w:val="center"/>
          </w:tcPr>
          <w:p w14:paraId="50AE56D3" w14:textId="3C13C606" w:rsidR="0038613F" w:rsidRPr="00E029A4" w:rsidRDefault="0038613F">
            <w:pPr>
              <w:suppressLineNumbers/>
              <w:suppressAutoHyphens/>
              <w:kinsoku w:val="0"/>
              <w:overflowPunct w:val="0"/>
              <w:autoSpaceDE w:val="0"/>
              <w:autoSpaceDN w:val="0"/>
              <w:adjustRightInd w:val="0"/>
              <w:snapToGrid w:val="0"/>
              <w:jc w:val="left"/>
              <w:rPr>
                <w:rFonts w:eastAsia="SimSun"/>
                <w:kern w:val="22"/>
                <w:szCs w:val="22"/>
              </w:rPr>
            </w:pPr>
            <w:r w:rsidRPr="00A57937">
              <w:rPr>
                <w:rFonts w:eastAsia="SimSun"/>
                <w:kern w:val="22"/>
                <w:szCs w:val="22"/>
              </w:rPr>
              <w:t>Q.13</w:t>
            </w:r>
          </w:p>
        </w:tc>
      </w:tr>
      <w:tr w:rsidR="0038613F" w:rsidRPr="00A1040E" w14:paraId="1558E111" w14:textId="77777777" w:rsidTr="00EA1A55">
        <w:trPr>
          <w:cantSplit/>
          <w:jc w:val="center"/>
        </w:trPr>
        <w:tc>
          <w:tcPr>
            <w:tcW w:w="5552" w:type="dxa"/>
            <w:shd w:val="clear" w:color="auto" w:fill="auto"/>
            <w:tcMar>
              <w:top w:w="29" w:type="dxa"/>
              <w:left w:w="115" w:type="dxa"/>
              <w:bottom w:w="29" w:type="dxa"/>
              <w:right w:w="115" w:type="dxa"/>
            </w:tcMar>
          </w:tcPr>
          <w:p w14:paraId="4CA7AF3F"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15.</w:t>
            </w:r>
            <w:r w:rsidRPr="00A1040E">
              <w:rPr>
                <w:rFonts w:eastAsia="SimSun"/>
                <w:kern w:val="22"/>
                <w:szCs w:val="22"/>
              </w:rPr>
              <w:tab/>
              <w:t>Number and percentage of Parties requiring prior informed consent</w:t>
            </w:r>
            <w:r w:rsidRPr="008964A8">
              <w:rPr>
                <w:rFonts w:eastAsia="Calibri"/>
                <w:kern w:val="22"/>
                <w:szCs w:val="22"/>
              </w:rPr>
              <w:t xml:space="preserve"> </w:t>
            </w:r>
            <w:r w:rsidRPr="008964A8">
              <w:rPr>
                <w:rFonts w:eastAsia="SimSun"/>
                <w:kern w:val="22"/>
                <w:szCs w:val="22"/>
              </w:rPr>
              <w:t>providing for the issuance at the time of access of a permit or its equivalent as provided in Article 6.3 (e)</w:t>
            </w:r>
          </w:p>
        </w:tc>
        <w:tc>
          <w:tcPr>
            <w:tcW w:w="1104" w:type="dxa"/>
            <w:shd w:val="clear" w:color="auto" w:fill="auto"/>
            <w:tcMar>
              <w:top w:w="29" w:type="dxa"/>
              <w:left w:w="115" w:type="dxa"/>
              <w:bottom w:w="29" w:type="dxa"/>
              <w:right w:w="115" w:type="dxa"/>
            </w:tcMar>
            <w:vAlign w:val="center"/>
          </w:tcPr>
          <w:p w14:paraId="57FAE3F2" w14:textId="77777777" w:rsidR="0038613F" w:rsidRPr="00C649EC" w:rsidRDefault="0038613F">
            <w:pPr>
              <w:suppressLineNumbers/>
              <w:suppressAutoHyphens/>
              <w:kinsoku w:val="0"/>
              <w:overflowPunct w:val="0"/>
              <w:autoSpaceDE w:val="0"/>
              <w:autoSpaceDN w:val="0"/>
              <w:adjustRightInd w:val="0"/>
              <w:snapToGrid w:val="0"/>
              <w:jc w:val="center"/>
              <w:rPr>
                <w:rFonts w:eastAsia="Malgun Gothic"/>
                <w:kern w:val="22"/>
                <w:szCs w:val="22"/>
              </w:rPr>
            </w:pPr>
            <w:r w:rsidRPr="00C649EC">
              <w:rPr>
                <w:rFonts w:eastAsia="Malgun Gothic"/>
                <w:kern w:val="22"/>
                <w:szCs w:val="22"/>
              </w:rPr>
              <w:t>(a) (b)</w:t>
            </w:r>
          </w:p>
        </w:tc>
        <w:tc>
          <w:tcPr>
            <w:tcW w:w="1506" w:type="dxa"/>
            <w:shd w:val="clear" w:color="auto" w:fill="auto"/>
            <w:tcMar>
              <w:top w:w="29" w:type="dxa"/>
              <w:left w:w="115" w:type="dxa"/>
              <w:bottom w:w="29" w:type="dxa"/>
              <w:right w:w="115" w:type="dxa"/>
            </w:tcMar>
            <w:vAlign w:val="center"/>
          </w:tcPr>
          <w:p w14:paraId="4F078F82"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32 (86%)</w:t>
            </w:r>
          </w:p>
        </w:tc>
        <w:tc>
          <w:tcPr>
            <w:tcW w:w="1321" w:type="dxa"/>
            <w:shd w:val="clear" w:color="auto" w:fill="auto"/>
            <w:tcMar>
              <w:top w:w="29" w:type="dxa"/>
              <w:left w:w="115" w:type="dxa"/>
              <w:bottom w:w="29" w:type="dxa"/>
              <w:right w:w="115" w:type="dxa"/>
            </w:tcMar>
            <w:vAlign w:val="center"/>
          </w:tcPr>
          <w:p w14:paraId="70194AD6"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Q.15</w:t>
            </w:r>
          </w:p>
        </w:tc>
      </w:tr>
      <w:tr w:rsidR="0038613F" w:rsidRPr="00A1040E" w14:paraId="76515EDB" w14:textId="77777777" w:rsidTr="00EA1A55">
        <w:trPr>
          <w:cantSplit/>
          <w:jc w:val="center"/>
        </w:trPr>
        <w:tc>
          <w:tcPr>
            <w:tcW w:w="5552" w:type="dxa"/>
            <w:shd w:val="clear" w:color="auto" w:fill="auto"/>
            <w:tcMar>
              <w:top w:w="29" w:type="dxa"/>
              <w:left w:w="115" w:type="dxa"/>
              <w:bottom w:w="29" w:type="dxa"/>
              <w:right w:w="115" w:type="dxa"/>
            </w:tcMar>
          </w:tcPr>
          <w:p w14:paraId="0DBEFD41"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16.</w:t>
            </w:r>
            <w:r w:rsidRPr="00A1040E">
              <w:rPr>
                <w:rFonts w:eastAsia="SimSun"/>
                <w:kern w:val="22"/>
                <w:szCs w:val="22"/>
              </w:rPr>
              <w:tab/>
            </w:r>
            <w:r w:rsidRPr="0052359B">
              <w:rPr>
                <w:rFonts w:eastAsia="Calibri"/>
                <w:color w:val="000000"/>
                <w:kern w:val="22"/>
                <w:szCs w:val="22"/>
                <w:u w:color="000000"/>
              </w:rPr>
              <w:t xml:space="preserve">Number and percentage of Parties requiring prior informed consent for access to genetic resources that have rules and procedures for requiring and establishing mutually </w:t>
            </w:r>
            <w:r w:rsidRPr="008964A8">
              <w:rPr>
                <w:rFonts w:eastAsia="Calibri"/>
                <w:color w:val="000000"/>
                <w:kern w:val="22"/>
                <w:szCs w:val="22"/>
                <w:u w:color="000000"/>
              </w:rPr>
              <w:t>agreed terms as provided in Article 6.3 (g)</w:t>
            </w:r>
          </w:p>
        </w:tc>
        <w:tc>
          <w:tcPr>
            <w:tcW w:w="1104" w:type="dxa"/>
            <w:shd w:val="clear" w:color="auto" w:fill="auto"/>
            <w:tcMar>
              <w:top w:w="29" w:type="dxa"/>
              <w:left w:w="115" w:type="dxa"/>
              <w:bottom w:w="29" w:type="dxa"/>
              <w:right w:w="115" w:type="dxa"/>
            </w:tcMar>
            <w:vAlign w:val="center"/>
          </w:tcPr>
          <w:p w14:paraId="7306634D"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(a)</w:t>
            </w:r>
          </w:p>
        </w:tc>
        <w:tc>
          <w:tcPr>
            <w:tcW w:w="1506" w:type="dxa"/>
            <w:shd w:val="clear" w:color="auto" w:fill="auto"/>
            <w:tcMar>
              <w:top w:w="29" w:type="dxa"/>
              <w:left w:w="115" w:type="dxa"/>
              <w:bottom w:w="29" w:type="dxa"/>
              <w:right w:w="115" w:type="dxa"/>
            </w:tcMar>
            <w:vAlign w:val="center"/>
          </w:tcPr>
          <w:p w14:paraId="571C861F"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28 (76%)</w:t>
            </w:r>
          </w:p>
        </w:tc>
        <w:tc>
          <w:tcPr>
            <w:tcW w:w="1321" w:type="dxa"/>
            <w:shd w:val="clear" w:color="auto" w:fill="auto"/>
            <w:tcMar>
              <w:top w:w="29" w:type="dxa"/>
              <w:left w:w="115" w:type="dxa"/>
              <w:bottom w:w="29" w:type="dxa"/>
              <w:right w:w="115" w:type="dxa"/>
            </w:tcMar>
            <w:vAlign w:val="center"/>
          </w:tcPr>
          <w:p w14:paraId="7C52248E" w14:textId="5DA0A939" w:rsidR="0038613F" w:rsidRPr="00E029A4" w:rsidRDefault="0038613F">
            <w:pPr>
              <w:suppressLineNumbers/>
              <w:suppressAutoHyphens/>
              <w:kinsoku w:val="0"/>
              <w:overflowPunct w:val="0"/>
              <w:autoSpaceDE w:val="0"/>
              <w:autoSpaceDN w:val="0"/>
              <w:adjustRightInd w:val="0"/>
              <w:snapToGrid w:val="0"/>
              <w:jc w:val="left"/>
              <w:rPr>
                <w:rFonts w:eastAsia="Calibri"/>
                <w:color w:val="000000"/>
                <w:kern w:val="22"/>
                <w:szCs w:val="22"/>
                <w:u w:color="000000"/>
              </w:rPr>
            </w:pPr>
            <w:r w:rsidRPr="00A57937">
              <w:rPr>
                <w:rFonts w:eastAsia="Calibri"/>
                <w:color w:val="000000"/>
                <w:kern w:val="22"/>
                <w:szCs w:val="22"/>
                <w:u w:color="000000"/>
              </w:rPr>
              <w:t>Q.17</w:t>
            </w:r>
          </w:p>
        </w:tc>
      </w:tr>
      <w:tr w:rsidR="0038613F" w:rsidRPr="00A1040E" w14:paraId="6F0F4E60" w14:textId="77777777" w:rsidTr="00EA1A55">
        <w:trPr>
          <w:cantSplit/>
          <w:jc w:val="center"/>
        </w:trPr>
        <w:tc>
          <w:tcPr>
            <w:tcW w:w="5552" w:type="dxa"/>
            <w:shd w:val="clear" w:color="auto" w:fill="auto"/>
            <w:tcMar>
              <w:top w:w="29" w:type="dxa"/>
              <w:left w:w="115" w:type="dxa"/>
              <w:bottom w:w="29" w:type="dxa"/>
              <w:right w:w="115" w:type="dxa"/>
            </w:tcMar>
          </w:tcPr>
          <w:p w14:paraId="2AB100C1" w14:textId="77777777" w:rsidR="0038613F" w:rsidRPr="00C649EC"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17.</w:t>
            </w:r>
            <w:r w:rsidRPr="00A1040E">
              <w:rPr>
                <w:rFonts w:eastAsia="SimSun"/>
                <w:kern w:val="22"/>
                <w:szCs w:val="22"/>
              </w:rPr>
              <w:tab/>
            </w:r>
            <w:r w:rsidRPr="0052359B">
              <w:rPr>
                <w:rFonts w:eastAsia="Calibri"/>
                <w:i/>
                <w:color w:val="000000"/>
                <w:kern w:val="22"/>
                <w:szCs w:val="22"/>
                <w:u w:color="000000"/>
              </w:rPr>
              <w:t>Revised:</w:t>
            </w:r>
            <w:r w:rsidRPr="0052359B">
              <w:rPr>
                <w:rFonts w:eastAsia="Calibri"/>
                <w:color w:val="000000"/>
                <w:kern w:val="22"/>
                <w:szCs w:val="22"/>
                <w:u w:color="000000"/>
              </w:rPr>
              <w:t xml:space="preserve"> Number and percentage of Parties </w:t>
            </w:r>
            <w:r w:rsidRPr="008964A8">
              <w:rPr>
                <w:rFonts w:eastAsia="SimSun"/>
                <w:kern w:val="22"/>
                <w:szCs w:val="22"/>
              </w:rPr>
              <w:t>requiring prior informed consent for access to genetic resources for their utilization which rec</w:t>
            </w:r>
            <w:r w:rsidRPr="00C649EC">
              <w:rPr>
                <w:rFonts w:eastAsia="SimSun"/>
                <w:kern w:val="22"/>
                <w:szCs w:val="22"/>
              </w:rPr>
              <w:t>eived monetary benefits from granting access to genetic resources since entry into force of the Protocol</w:t>
            </w:r>
          </w:p>
        </w:tc>
        <w:tc>
          <w:tcPr>
            <w:tcW w:w="1104" w:type="dxa"/>
            <w:shd w:val="clear" w:color="auto" w:fill="auto"/>
            <w:tcMar>
              <w:top w:w="29" w:type="dxa"/>
              <w:left w:w="115" w:type="dxa"/>
              <w:bottom w:w="29" w:type="dxa"/>
              <w:right w:w="115" w:type="dxa"/>
            </w:tcMar>
            <w:vAlign w:val="center"/>
          </w:tcPr>
          <w:p w14:paraId="6376B611"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(b)</w:t>
            </w:r>
          </w:p>
        </w:tc>
        <w:tc>
          <w:tcPr>
            <w:tcW w:w="1506" w:type="dxa"/>
            <w:shd w:val="clear" w:color="auto" w:fill="auto"/>
            <w:tcMar>
              <w:top w:w="29" w:type="dxa"/>
              <w:left w:w="115" w:type="dxa"/>
              <w:bottom w:w="29" w:type="dxa"/>
              <w:right w:w="115" w:type="dxa"/>
            </w:tcMar>
            <w:vAlign w:val="center"/>
          </w:tcPr>
          <w:p w14:paraId="5C338EBA" w14:textId="77777777" w:rsidR="0038613F" w:rsidRPr="00B31519" w:rsidRDefault="0038613F">
            <w:pPr>
              <w:suppressLineNumbers/>
              <w:suppressAutoHyphens/>
              <w:kinsoku w:val="0"/>
              <w:overflowPunct w:val="0"/>
              <w:autoSpaceDE w:val="0"/>
              <w:autoSpaceDN w:val="0"/>
              <w:adjustRightInd w:val="0"/>
              <w:snapToGrid w:val="0"/>
              <w:jc w:val="center"/>
              <w:rPr>
                <w:rFonts w:eastAsia="SimSun"/>
                <w:kern w:val="22"/>
                <w:szCs w:val="22"/>
              </w:rPr>
            </w:pPr>
            <w:r w:rsidRPr="00B31519">
              <w:rPr>
                <w:rFonts w:eastAsia="SimSun"/>
                <w:kern w:val="22"/>
                <w:szCs w:val="22"/>
              </w:rPr>
              <w:t>Not conclusive data</w:t>
            </w:r>
          </w:p>
        </w:tc>
        <w:tc>
          <w:tcPr>
            <w:tcW w:w="1321" w:type="dxa"/>
            <w:shd w:val="clear" w:color="auto" w:fill="auto"/>
            <w:tcMar>
              <w:top w:w="29" w:type="dxa"/>
              <w:left w:w="115" w:type="dxa"/>
              <w:bottom w:w="29" w:type="dxa"/>
              <w:right w:w="115" w:type="dxa"/>
            </w:tcMar>
            <w:vAlign w:val="center"/>
          </w:tcPr>
          <w:p w14:paraId="40F76CA2" w14:textId="77777777" w:rsidR="0038613F" w:rsidRPr="00A1040E" w:rsidRDefault="0038613F">
            <w:pPr>
              <w:suppressLineNumbers/>
              <w:suppressAutoHyphens/>
              <w:kinsoku w:val="0"/>
              <w:overflowPunct w:val="0"/>
              <w:autoSpaceDE w:val="0"/>
              <w:autoSpaceDN w:val="0"/>
              <w:adjustRightInd w:val="0"/>
              <w:snapToGrid w:val="0"/>
              <w:jc w:val="left"/>
              <w:rPr>
                <w:rFonts w:eastAsia="SimSun"/>
                <w:kern w:val="22"/>
                <w:szCs w:val="22"/>
              </w:rPr>
            </w:pPr>
            <w:r w:rsidRPr="00A1040E">
              <w:rPr>
                <w:rFonts w:eastAsia="SimSun"/>
                <w:kern w:val="22"/>
                <w:szCs w:val="22"/>
              </w:rPr>
              <w:t>Q.18 requires revision</w:t>
            </w:r>
          </w:p>
        </w:tc>
      </w:tr>
      <w:tr w:rsidR="0038613F" w:rsidRPr="00A1040E" w14:paraId="66F525F0" w14:textId="77777777" w:rsidTr="00EA1A55">
        <w:trPr>
          <w:cantSplit/>
          <w:jc w:val="center"/>
        </w:trPr>
        <w:tc>
          <w:tcPr>
            <w:tcW w:w="5552" w:type="dxa"/>
            <w:shd w:val="clear" w:color="auto" w:fill="auto"/>
            <w:tcMar>
              <w:top w:w="29" w:type="dxa"/>
              <w:left w:w="115" w:type="dxa"/>
              <w:bottom w:w="29" w:type="dxa"/>
              <w:right w:w="115" w:type="dxa"/>
            </w:tcMar>
          </w:tcPr>
          <w:p w14:paraId="393EBCAD" w14:textId="77777777" w:rsidR="0038613F" w:rsidRPr="00C649EC"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18.</w:t>
            </w:r>
            <w:r w:rsidRPr="00A1040E">
              <w:rPr>
                <w:rFonts w:eastAsia="SimSun"/>
                <w:kern w:val="22"/>
                <w:szCs w:val="22"/>
              </w:rPr>
              <w:tab/>
            </w:r>
            <w:r w:rsidRPr="0052359B">
              <w:rPr>
                <w:rFonts w:eastAsia="Calibri"/>
                <w:i/>
                <w:color w:val="000000"/>
                <w:kern w:val="22"/>
                <w:szCs w:val="22"/>
                <w:u w:color="000000"/>
              </w:rPr>
              <w:t>New:</w:t>
            </w:r>
            <w:r w:rsidRPr="0052359B">
              <w:rPr>
                <w:rFonts w:eastAsia="Calibri"/>
                <w:color w:val="000000"/>
                <w:kern w:val="22"/>
                <w:szCs w:val="22"/>
                <w:u w:color="000000"/>
              </w:rPr>
              <w:t xml:space="preserve"> </w:t>
            </w:r>
            <w:r w:rsidRPr="008964A8">
              <w:rPr>
                <w:rFonts w:eastAsia="SimSun"/>
                <w:kern w:val="22"/>
                <w:szCs w:val="22"/>
              </w:rPr>
              <w:t>Amount of monetary benefits (in USD) received from granting access to genetic resources for th</w:t>
            </w:r>
            <w:r w:rsidRPr="00C649EC">
              <w:rPr>
                <w:rFonts w:eastAsia="SimSun"/>
                <w:kern w:val="22"/>
                <w:szCs w:val="22"/>
              </w:rPr>
              <w:t>eir utilization since entry into force of the Protocol</w:t>
            </w:r>
          </w:p>
        </w:tc>
        <w:tc>
          <w:tcPr>
            <w:tcW w:w="1104" w:type="dxa"/>
            <w:shd w:val="clear" w:color="auto" w:fill="auto"/>
            <w:tcMar>
              <w:top w:w="29" w:type="dxa"/>
              <w:left w:w="115" w:type="dxa"/>
              <w:bottom w:w="29" w:type="dxa"/>
              <w:right w:w="115" w:type="dxa"/>
            </w:tcMar>
            <w:vAlign w:val="center"/>
          </w:tcPr>
          <w:p w14:paraId="36D8FFCE"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(b)</w:t>
            </w:r>
          </w:p>
        </w:tc>
        <w:tc>
          <w:tcPr>
            <w:tcW w:w="1506" w:type="dxa"/>
            <w:shd w:val="clear" w:color="auto" w:fill="auto"/>
            <w:tcMar>
              <w:top w:w="29" w:type="dxa"/>
              <w:left w:w="115" w:type="dxa"/>
              <w:bottom w:w="29" w:type="dxa"/>
              <w:right w:w="115" w:type="dxa"/>
            </w:tcMar>
            <w:vAlign w:val="center"/>
          </w:tcPr>
          <w:p w14:paraId="3DDA5C33" w14:textId="77777777" w:rsidR="0038613F" w:rsidRPr="00B31519" w:rsidRDefault="0038613F">
            <w:pPr>
              <w:suppressLineNumbers/>
              <w:suppressAutoHyphens/>
              <w:kinsoku w:val="0"/>
              <w:overflowPunct w:val="0"/>
              <w:autoSpaceDE w:val="0"/>
              <w:autoSpaceDN w:val="0"/>
              <w:adjustRightInd w:val="0"/>
              <w:snapToGrid w:val="0"/>
              <w:jc w:val="center"/>
              <w:rPr>
                <w:rFonts w:eastAsia="SimSun"/>
                <w:kern w:val="22"/>
                <w:szCs w:val="22"/>
              </w:rPr>
            </w:pPr>
            <w:r w:rsidRPr="00B31519">
              <w:rPr>
                <w:rFonts w:eastAsia="SimSun"/>
                <w:kern w:val="22"/>
                <w:szCs w:val="22"/>
              </w:rPr>
              <w:t>Not conclusive data</w:t>
            </w:r>
          </w:p>
        </w:tc>
        <w:tc>
          <w:tcPr>
            <w:tcW w:w="1321" w:type="dxa"/>
            <w:shd w:val="clear" w:color="auto" w:fill="auto"/>
            <w:tcMar>
              <w:top w:w="29" w:type="dxa"/>
              <w:left w:w="115" w:type="dxa"/>
              <w:bottom w:w="29" w:type="dxa"/>
              <w:right w:w="115" w:type="dxa"/>
            </w:tcMar>
            <w:vAlign w:val="center"/>
          </w:tcPr>
          <w:p w14:paraId="7D0FEC9C" w14:textId="77777777" w:rsidR="0038613F" w:rsidRPr="00A1040E" w:rsidRDefault="0038613F">
            <w:pPr>
              <w:suppressLineNumbers/>
              <w:suppressAutoHyphens/>
              <w:kinsoku w:val="0"/>
              <w:overflowPunct w:val="0"/>
              <w:autoSpaceDE w:val="0"/>
              <w:autoSpaceDN w:val="0"/>
              <w:adjustRightInd w:val="0"/>
              <w:snapToGrid w:val="0"/>
              <w:jc w:val="left"/>
              <w:rPr>
                <w:rFonts w:eastAsia="SimSun"/>
                <w:kern w:val="22"/>
                <w:szCs w:val="22"/>
              </w:rPr>
            </w:pPr>
            <w:r w:rsidRPr="00A1040E">
              <w:rPr>
                <w:rFonts w:eastAsia="SimSun"/>
                <w:kern w:val="22"/>
                <w:szCs w:val="22"/>
              </w:rPr>
              <w:t>Q.18 requires revision</w:t>
            </w:r>
          </w:p>
        </w:tc>
      </w:tr>
      <w:tr w:rsidR="0038613F" w:rsidRPr="00A1040E" w14:paraId="6811D00F" w14:textId="77777777" w:rsidTr="00EA1A55">
        <w:trPr>
          <w:cantSplit/>
          <w:jc w:val="center"/>
        </w:trPr>
        <w:tc>
          <w:tcPr>
            <w:tcW w:w="5552" w:type="dxa"/>
            <w:shd w:val="clear" w:color="auto" w:fill="auto"/>
            <w:tcMar>
              <w:top w:w="29" w:type="dxa"/>
              <w:left w:w="115" w:type="dxa"/>
              <w:bottom w:w="29" w:type="dxa"/>
              <w:right w:w="115" w:type="dxa"/>
            </w:tcMar>
          </w:tcPr>
          <w:p w14:paraId="65BD5F65" w14:textId="77777777" w:rsidR="0038613F" w:rsidRPr="000346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0346A8">
              <w:rPr>
                <w:rFonts w:eastAsia="SimSun"/>
                <w:kern w:val="22"/>
                <w:szCs w:val="22"/>
              </w:rPr>
              <w:t>19.</w:t>
            </w:r>
            <w:r w:rsidRPr="000346A8">
              <w:rPr>
                <w:rFonts w:eastAsia="SimSun"/>
                <w:kern w:val="22"/>
                <w:szCs w:val="22"/>
              </w:rPr>
              <w:tab/>
            </w:r>
            <w:r w:rsidRPr="000346A8">
              <w:rPr>
                <w:rFonts w:eastAsia="Calibri"/>
                <w:i/>
                <w:color w:val="000000"/>
                <w:kern w:val="22"/>
                <w:szCs w:val="22"/>
                <w:u w:color="000000"/>
              </w:rPr>
              <w:t>Revised:</w:t>
            </w:r>
            <w:r w:rsidRPr="000346A8">
              <w:rPr>
                <w:rFonts w:eastAsia="Calibri"/>
                <w:color w:val="000000"/>
                <w:kern w:val="22"/>
                <w:szCs w:val="22"/>
                <w:u w:color="000000"/>
              </w:rPr>
              <w:t xml:space="preserve"> Number and percentage of Parties </w:t>
            </w:r>
            <w:r w:rsidRPr="000346A8">
              <w:rPr>
                <w:rFonts w:eastAsia="SimSun"/>
                <w:kern w:val="22"/>
                <w:szCs w:val="22"/>
              </w:rPr>
              <w:t>requiring prior informed consent for access to genetic resources that received non-monetary benefits from granting access to genetic resources since entry into force of the Protocol</w:t>
            </w:r>
          </w:p>
        </w:tc>
        <w:tc>
          <w:tcPr>
            <w:tcW w:w="1104" w:type="dxa"/>
            <w:shd w:val="clear" w:color="auto" w:fill="auto"/>
            <w:tcMar>
              <w:top w:w="29" w:type="dxa"/>
              <w:left w:w="115" w:type="dxa"/>
              <w:bottom w:w="29" w:type="dxa"/>
              <w:right w:w="115" w:type="dxa"/>
            </w:tcMar>
            <w:vAlign w:val="center"/>
          </w:tcPr>
          <w:p w14:paraId="2D01A585" w14:textId="77777777" w:rsidR="0038613F" w:rsidRPr="0052359B" w:rsidRDefault="0038613F">
            <w:pPr>
              <w:suppressLineNumbers/>
              <w:suppressAutoHyphens/>
              <w:kinsoku w:val="0"/>
              <w:overflowPunct w:val="0"/>
              <w:autoSpaceDE w:val="0"/>
              <w:autoSpaceDN w:val="0"/>
              <w:adjustRightInd w:val="0"/>
              <w:snapToGrid w:val="0"/>
              <w:jc w:val="center"/>
              <w:rPr>
                <w:rFonts w:eastAsia="Calibri"/>
                <w:kern w:val="22"/>
                <w:szCs w:val="22"/>
              </w:rPr>
            </w:pPr>
            <w:r w:rsidRPr="00A1040E">
              <w:rPr>
                <w:rFonts w:eastAsia="Calibri"/>
                <w:kern w:val="22"/>
                <w:szCs w:val="22"/>
              </w:rPr>
              <w:t>(b)</w:t>
            </w:r>
          </w:p>
        </w:tc>
        <w:tc>
          <w:tcPr>
            <w:tcW w:w="1506" w:type="dxa"/>
            <w:shd w:val="clear" w:color="auto" w:fill="auto"/>
            <w:tcMar>
              <w:top w:w="29" w:type="dxa"/>
              <w:left w:w="115" w:type="dxa"/>
              <w:bottom w:w="29" w:type="dxa"/>
              <w:right w:w="115" w:type="dxa"/>
            </w:tcMar>
            <w:vAlign w:val="center"/>
          </w:tcPr>
          <w:p w14:paraId="3337B483" w14:textId="77777777" w:rsidR="0038613F" w:rsidRPr="008964A8" w:rsidRDefault="0038613F">
            <w:pPr>
              <w:suppressLineNumbers/>
              <w:suppressAutoHyphens/>
              <w:kinsoku w:val="0"/>
              <w:overflowPunct w:val="0"/>
              <w:autoSpaceDE w:val="0"/>
              <w:autoSpaceDN w:val="0"/>
              <w:adjustRightInd w:val="0"/>
              <w:snapToGrid w:val="0"/>
              <w:jc w:val="center"/>
              <w:rPr>
                <w:rFonts w:eastAsia="SimSun"/>
                <w:kern w:val="22"/>
                <w:szCs w:val="22"/>
              </w:rPr>
            </w:pPr>
            <w:r w:rsidRPr="008964A8">
              <w:rPr>
                <w:rFonts w:eastAsia="SimSun"/>
                <w:kern w:val="22"/>
                <w:szCs w:val="22"/>
              </w:rPr>
              <w:t>Not conclusive data</w:t>
            </w:r>
          </w:p>
        </w:tc>
        <w:tc>
          <w:tcPr>
            <w:tcW w:w="1321" w:type="dxa"/>
            <w:shd w:val="clear" w:color="auto" w:fill="auto"/>
            <w:tcMar>
              <w:top w:w="29" w:type="dxa"/>
              <w:left w:w="115" w:type="dxa"/>
              <w:bottom w:w="29" w:type="dxa"/>
              <w:right w:w="115" w:type="dxa"/>
            </w:tcMar>
            <w:vAlign w:val="center"/>
          </w:tcPr>
          <w:p w14:paraId="7B14CD38" w14:textId="77777777" w:rsidR="0038613F" w:rsidRPr="00C649EC" w:rsidRDefault="0038613F">
            <w:pPr>
              <w:suppressLineNumbers/>
              <w:suppressAutoHyphens/>
              <w:kinsoku w:val="0"/>
              <w:overflowPunct w:val="0"/>
              <w:autoSpaceDE w:val="0"/>
              <w:autoSpaceDN w:val="0"/>
              <w:adjustRightInd w:val="0"/>
              <w:snapToGrid w:val="0"/>
              <w:jc w:val="left"/>
              <w:rPr>
                <w:rFonts w:eastAsia="SimSun"/>
                <w:kern w:val="22"/>
                <w:szCs w:val="22"/>
              </w:rPr>
            </w:pPr>
            <w:r w:rsidRPr="00C649EC">
              <w:rPr>
                <w:rFonts w:eastAsia="SimSun"/>
                <w:kern w:val="22"/>
                <w:szCs w:val="22"/>
              </w:rPr>
              <w:t>Q.18 requires revision</w:t>
            </w:r>
          </w:p>
        </w:tc>
      </w:tr>
      <w:tr w:rsidR="0038613F" w:rsidRPr="00A1040E" w14:paraId="147AABD4" w14:textId="77777777" w:rsidTr="00EA1A55">
        <w:trPr>
          <w:cantSplit/>
          <w:jc w:val="center"/>
        </w:trPr>
        <w:tc>
          <w:tcPr>
            <w:tcW w:w="5552" w:type="dxa"/>
            <w:shd w:val="clear" w:color="auto" w:fill="auto"/>
            <w:tcMar>
              <w:top w:w="29" w:type="dxa"/>
              <w:left w:w="115" w:type="dxa"/>
              <w:bottom w:w="29" w:type="dxa"/>
              <w:right w:w="115" w:type="dxa"/>
            </w:tcMar>
          </w:tcPr>
          <w:p w14:paraId="0E67ACE3" w14:textId="77777777" w:rsidR="0038613F" w:rsidRPr="00A57937"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20.</w:t>
            </w:r>
            <w:r w:rsidRPr="00A1040E">
              <w:rPr>
                <w:rFonts w:eastAsia="SimSun"/>
                <w:kern w:val="22"/>
                <w:szCs w:val="22"/>
              </w:rPr>
              <w:tab/>
            </w:r>
            <w:r w:rsidRPr="0052359B">
              <w:rPr>
                <w:rFonts w:eastAsia="Calibri"/>
                <w:i/>
                <w:color w:val="000000"/>
                <w:kern w:val="22"/>
                <w:szCs w:val="22"/>
                <w:u w:color="000000"/>
              </w:rPr>
              <w:t>Revised:</w:t>
            </w:r>
            <w:r w:rsidRPr="0052359B">
              <w:rPr>
                <w:rFonts w:eastAsia="Calibri"/>
                <w:color w:val="000000"/>
                <w:kern w:val="22"/>
                <w:szCs w:val="22"/>
                <w:u w:color="000000"/>
              </w:rPr>
              <w:t xml:space="preserve"> Number and percentage of Parties </w:t>
            </w:r>
            <w:r w:rsidRPr="008964A8">
              <w:rPr>
                <w:rFonts w:eastAsia="SimSun"/>
                <w:kern w:val="22"/>
                <w:szCs w:val="22"/>
              </w:rPr>
              <w:t>with indigenous peoples and local communities in their country that received monetary b</w:t>
            </w:r>
            <w:r w:rsidRPr="00C649EC">
              <w:rPr>
                <w:rFonts w:eastAsia="SimSun"/>
                <w:kern w:val="22"/>
                <w:szCs w:val="22"/>
              </w:rPr>
              <w:t>enefits from granting access to traditional knowledge associated with genetic resources</w:t>
            </w:r>
            <w:r w:rsidRPr="00A57937">
              <w:rPr>
                <w:rFonts w:eastAsia="Malgun Gothic"/>
                <w:kern w:val="22"/>
                <w:szCs w:val="22"/>
              </w:rPr>
              <w:t xml:space="preserve"> </w:t>
            </w:r>
            <w:r w:rsidRPr="00A57937">
              <w:rPr>
                <w:rFonts w:eastAsia="SimSun"/>
                <w:kern w:val="22"/>
                <w:szCs w:val="22"/>
              </w:rPr>
              <w:t>since entry into force of the Protocol</w:t>
            </w:r>
          </w:p>
        </w:tc>
        <w:tc>
          <w:tcPr>
            <w:tcW w:w="1104" w:type="dxa"/>
            <w:shd w:val="clear" w:color="auto" w:fill="auto"/>
            <w:tcMar>
              <w:top w:w="29" w:type="dxa"/>
              <w:left w:w="115" w:type="dxa"/>
              <w:bottom w:w="29" w:type="dxa"/>
              <w:right w:w="115" w:type="dxa"/>
            </w:tcMar>
            <w:vAlign w:val="center"/>
          </w:tcPr>
          <w:p w14:paraId="3A604759" w14:textId="77777777" w:rsidR="0038613F" w:rsidRPr="00B31519" w:rsidRDefault="0038613F">
            <w:pPr>
              <w:suppressLineNumbers/>
              <w:suppressAutoHyphens/>
              <w:kinsoku w:val="0"/>
              <w:overflowPunct w:val="0"/>
              <w:autoSpaceDE w:val="0"/>
              <w:autoSpaceDN w:val="0"/>
              <w:adjustRightInd w:val="0"/>
              <w:snapToGrid w:val="0"/>
              <w:jc w:val="center"/>
              <w:rPr>
                <w:rFonts w:eastAsia="Calibri"/>
                <w:kern w:val="22"/>
                <w:szCs w:val="22"/>
              </w:rPr>
            </w:pPr>
            <w:r w:rsidRPr="00B31519">
              <w:rPr>
                <w:rFonts w:eastAsia="Calibri"/>
                <w:kern w:val="22"/>
                <w:szCs w:val="22"/>
              </w:rPr>
              <w:t>(b)</w:t>
            </w:r>
          </w:p>
        </w:tc>
        <w:tc>
          <w:tcPr>
            <w:tcW w:w="1506" w:type="dxa"/>
            <w:shd w:val="clear" w:color="auto" w:fill="auto"/>
            <w:tcMar>
              <w:top w:w="29" w:type="dxa"/>
              <w:left w:w="115" w:type="dxa"/>
              <w:bottom w:w="29" w:type="dxa"/>
              <w:right w:w="115" w:type="dxa"/>
            </w:tcMar>
            <w:vAlign w:val="center"/>
          </w:tcPr>
          <w:p w14:paraId="1A9DF4BB" w14:textId="77777777" w:rsidR="0038613F" w:rsidRPr="00A1040E" w:rsidRDefault="0038613F">
            <w:pPr>
              <w:suppressLineNumbers/>
              <w:suppressAutoHyphens/>
              <w:kinsoku w:val="0"/>
              <w:overflowPunct w:val="0"/>
              <w:autoSpaceDE w:val="0"/>
              <w:autoSpaceDN w:val="0"/>
              <w:adjustRightInd w:val="0"/>
              <w:snapToGrid w:val="0"/>
              <w:jc w:val="center"/>
              <w:rPr>
                <w:rFonts w:eastAsia="SimSun"/>
                <w:kern w:val="22"/>
                <w:szCs w:val="22"/>
              </w:rPr>
            </w:pPr>
            <w:r w:rsidRPr="00A1040E">
              <w:rPr>
                <w:rFonts w:eastAsia="SimSun"/>
                <w:kern w:val="22"/>
                <w:szCs w:val="22"/>
              </w:rPr>
              <w:t>Not conclusive data</w:t>
            </w:r>
          </w:p>
        </w:tc>
        <w:tc>
          <w:tcPr>
            <w:tcW w:w="1321" w:type="dxa"/>
            <w:shd w:val="clear" w:color="auto" w:fill="auto"/>
            <w:tcMar>
              <w:top w:w="29" w:type="dxa"/>
              <w:left w:w="115" w:type="dxa"/>
              <w:bottom w:w="29" w:type="dxa"/>
              <w:right w:w="115" w:type="dxa"/>
            </w:tcMar>
            <w:vAlign w:val="center"/>
          </w:tcPr>
          <w:p w14:paraId="38C263C7" w14:textId="77777777" w:rsidR="0038613F" w:rsidRPr="00A1040E" w:rsidRDefault="0038613F">
            <w:pPr>
              <w:suppressLineNumbers/>
              <w:suppressAutoHyphens/>
              <w:kinsoku w:val="0"/>
              <w:overflowPunct w:val="0"/>
              <w:autoSpaceDE w:val="0"/>
              <w:autoSpaceDN w:val="0"/>
              <w:adjustRightInd w:val="0"/>
              <w:snapToGrid w:val="0"/>
              <w:jc w:val="left"/>
              <w:rPr>
                <w:rFonts w:eastAsia="SimSun"/>
                <w:kern w:val="22"/>
                <w:szCs w:val="22"/>
              </w:rPr>
            </w:pPr>
            <w:r w:rsidRPr="00A1040E">
              <w:rPr>
                <w:rFonts w:eastAsia="SimSun"/>
                <w:kern w:val="22"/>
                <w:szCs w:val="22"/>
              </w:rPr>
              <w:t>Q.18 requires revision</w:t>
            </w:r>
          </w:p>
        </w:tc>
      </w:tr>
      <w:tr w:rsidR="0038613F" w:rsidRPr="00A1040E" w14:paraId="342444A1" w14:textId="77777777" w:rsidTr="00EA1A55">
        <w:trPr>
          <w:cantSplit/>
          <w:jc w:val="center"/>
        </w:trPr>
        <w:tc>
          <w:tcPr>
            <w:tcW w:w="5552" w:type="dxa"/>
            <w:shd w:val="clear" w:color="auto" w:fill="auto"/>
            <w:tcMar>
              <w:top w:w="29" w:type="dxa"/>
              <w:left w:w="115" w:type="dxa"/>
              <w:bottom w:w="29" w:type="dxa"/>
              <w:right w:w="115" w:type="dxa"/>
            </w:tcMar>
          </w:tcPr>
          <w:p w14:paraId="411E9206" w14:textId="77777777" w:rsidR="0038613F" w:rsidRPr="00C649EC"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21.</w:t>
            </w:r>
            <w:r w:rsidRPr="00A1040E">
              <w:rPr>
                <w:rFonts w:eastAsia="SimSun"/>
                <w:kern w:val="22"/>
                <w:szCs w:val="22"/>
              </w:rPr>
              <w:tab/>
            </w:r>
            <w:r w:rsidRPr="0052359B">
              <w:rPr>
                <w:rFonts w:eastAsia="Calibri"/>
                <w:i/>
                <w:color w:val="000000"/>
                <w:kern w:val="22"/>
                <w:szCs w:val="22"/>
                <w:u w:color="000000"/>
              </w:rPr>
              <w:t>New:</w:t>
            </w:r>
            <w:r w:rsidRPr="0052359B">
              <w:rPr>
                <w:rFonts w:eastAsia="Calibri"/>
                <w:color w:val="000000"/>
                <w:kern w:val="22"/>
                <w:szCs w:val="22"/>
                <w:u w:color="000000"/>
              </w:rPr>
              <w:t xml:space="preserve"> </w:t>
            </w:r>
            <w:r w:rsidRPr="008964A8">
              <w:rPr>
                <w:rFonts w:eastAsia="SimSun"/>
                <w:kern w:val="22"/>
                <w:szCs w:val="22"/>
              </w:rPr>
              <w:t>Amount of monetary benefits (in USD) received from granting access to tr</w:t>
            </w:r>
            <w:r w:rsidRPr="00C649EC">
              <w:rPr>
                <w:rFonts w:eastAsia="SimSun"/>
                <w:kern w:val="22"/>
                <w:szCs w:val="22"/>
              </w:rPr>
              <w:t>aditional knowledge associated with genetic resources for its utilization since entry into force of the Protocol</w:t>
            </w:r>
          </w:p>
        </w:tc>
        <w:tc>
          <w:tcPr>
            <w:tcW w:w="1104" w:type="dxa"/>
            <w:shd w:val="clear" w:color="auto" w:fill="auto"/>
            <w:tcMar>
              <w:top w:w="29" w:type="dxa"/>
              <w:left w:w="115" w:type="dxa"/>
              <w:bottom w:w="29" w:type="dxa"/>
              <w:right w:w="115" w:type="dxa"/>
            </w:tcMar>
            <w:vAlign w:val="center"/>
          </w:tcPr>
          <w:p w14:paraId="4CD4B7E3"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(b)</w:t>
            </w:r>
          </w:p>
        </w:tc>
        <w:tc>
          <w:tcPr>
            <w:tcW w:w="1506" w:type="dxa"/>
            <w:shd w:val="clear" w:color="auto" w:fill="auto"/>
            <w:tcMar>
              <w:top w:w="29" w:type="dxa"/>
              <w:left w:w="115" w:type="dxa"/>
              <w:bottom w:w="29" w:type="dxa"/>
              <w:right w:w="115" w:type="dxa"/>
            </w:tcMar>
            <w:vAlign w:val="center"/>
          </w:tcPr>
          <w:p w14:paraId="179F52CA" w14:textId="77777777" w:rsidR="0038613F" w:rsidRPr="00B31519" w:rsidRDefault="0038613F">
            <w:pPr>
              <w:suppressLineNumbers/>
              <w:suppressAutoHyphens/>
              <w:kinsoku w:val="0"/>
              <w:overflowPunct w:val="0"/>
              <w:autoSpaceDE w:val="0"/>
              <w:autoSpaceDN w:val="0"/>
              <w:adjustRightInd w:val="0"/>
              <w:snapToGrid w:val="0"/>
              <w:jc w:val="center"/>
              <w:rPr>
                <w:rFonts w:eastAsia="SimSun"/>
                <w:kern w:val="22"/>
                <w:szCs w:val="22"/>
              </w:rPr>
            </w:pPr>
            <w:r w:rsidRPr="00B31519">
              <w:rPr>
                <w:rFonts w:eastAsia="SimSun"/>
                <w:kern w:val="22"/>
                <w:szCs w:val="22"/>
              </w:rPr>
              <w:t>Not conclusive data</w:t>
            </w:r>
          </w:p>
        </w:tc>
        <w:tc>
          <w:tcPr>
            <w:tcW w:w="1321" w:type="dxa"/>
            <w:shd w:val="clear" w:color="auto" w:fill="auto"/>
            <w:tcMar>
              <w:top w:w="29" w:type="dxa"/>
              <w:left w:w="115" w:type="dxa"/>
              <w:bottom w:w="29" w:type="dxa"/>
              <w:right w:w="115" w:type="dxa"/>
            </w:tcMar>
            <w:vAlign w:val="center"/>
          </w:tcPr>
          <w:p w14:paraId="5637C242" w14:textId="77777777" w:rsidR="0038613F" w:rsidRPr="00A1040E" w:rsidRDefault="0038613F">
            <w:pPr>
              <w:suppressLineNumbers/>
              <w:suppressAutoHyphens/>
              <w:kinsoku w:val="0"/>
              <w:overflowPunct w:val="0"/>
              <w:autoSpaceDE w:val="0"/>
              <w:autoSpaceDN w:val="0"/>
              <w:adjustRightInd w:val="0"/>
              <w:snapToGrid w:val="0"/>
              <w:jc w:val="left"/>
              <w:rPr>
                <w:rFonts w:eastAsia="SimSun"/>
                <w:kern w:val="22"/>
                <w:szCs w:val="22"/>
              </w:rPr>
            </w:pPr>
            <w:r w:rsidRPr="00A1040E">
              <w:rPr>
                <w:rFonts w:eastAsia="SimSun"/>
                <w:kern w:val="22"/>
                <w:szCs w:val="22"/>
              </w:rPr>
              <w:t>Q.18 requires revision</w:t>
            </w:r>
          </w:p>
        </w:tc>
      </w:tr>
      <w:tr w:rsidR="0038613F" w:rsidRPr="00A1040E" w14:paraId="193DCE7F" w14:textId="77777777"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6E69A87B" w14:textId="77777777" w:rsidR="0038613F" w:rsidRPr="00C649EC"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22.</w:t>
            </w:r>
            <w:r w:rsidRPr="00A1040E">
              <w:rPr>
                <w:rFonts w:eastAsia="SimSun"/>
                <w:kern w:val="22"/>
                <w:szCs w:val="22"/>
              </w:rPr>
              <w:tab/>
            </w:r>
            <w:r w:rsidRPr="0052359B">
              <w:rPr>
                <w:rFonts w:eastAsia="Calibri"/>
                <w:i/>
                <w:color w:val="000000"/>
                <w:kern w:val="22"/>
                <w:szCs w:val="22"/>
                <w:u w:color="000000"/>
              </w:rPr>
              <w:t>Revised:</w:t>
            </w:r>
            <w:r w:rsidRPr="0052359B">
              <w:rPr>
                <w:rFonts w:eastAsia="Calibri"/>
                <w:color w:val="000000"/>
                <w:kern w:val="22"/>
                <w:szCs w:val="22"/>
                <w:u w:color="000000"/>
              </w:rPr>
              <w:t xml:space="preserve"> Number and percentage of Parties </w:t>
            </w:r>
            <w:r w:rsidRPr="008964A8">
              <w:rPr>
                <w:rFonts w:eastAsia="SimSun"/>
                <w:kern w:val="22"/>
                <w:szCs w:val="22"/>
              </w:rPr>
              <w:t xml:space="preserve">with indigenous peoples and local communities in </w:t>
            </w:r>
            <w:r w:rsidRPr="00C649EC">
              <w:rPr>
                <w:rFonts w:eastAsia="SimSun"/>
                <w:kern w:val="22"/>
                <w:szCs w:val="22"/>
              </w:rPr>
              <w:t>their country that received non-monetary benefits from granting access to traditional knowledge associated with genetic resources</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66716846"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(b)</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27BA2D5B" w14:textId="77777777" w:rsidR="0038613F" w:rsidRPr="00B31519" w:rsidRDefault="0038613F">
            <w:pPr>
              <w:suppressLineNumbers/>
              <w:suppressAutoHyphens/>
              <w:kinsoku w:val="0"/>
              <w:overflowPunct w:val="0"/>
              <w:autoSpaceDE w:val="0"/>
              <w:autoSpaceDN w:val="0"/>
              <w:adjustRightInd w:val="0"/>
              <w:snapToGrid w:val="0"/>
              <w:jc w:val="center"/>
              <w:rPr>
                <w:rFonts w:eastAsia="SimSun"/>
                <w:kern w:val="22"/>
                <w:szCs w:val="22"/>
              </w:rPr>
            </w:pPr>
            <w:r w:rsidRPr="00B31519">
              <w:rPr>
                <w:rFonts w:eastAsia="SimSun"/>
                <w:kern w:val="22"/>
                <w:szCs w:val="22"/>
              </w:rPr>
              <w:t>Not conclusive data</w:t>
            </w:r>
          </w:p>
        </w:tc>
        <w:tc>
          <w:tcPr>
            <w:tcW w:w="1321" w:type="dxa"/>
            <w:tcBorders>
              <w:bottom w:val="single" w:sz="4" w:space="0" w:color="auto"/>
            </w:tcBorders>
            <w:shd w:val="clear" w:color="auto" w:fill="auto"/>
            <w:tcMar>
              <w:top w:w="29" w:type="dxa"/>
              <w:left w:w="115" w:type="dxa"/>
              <w:bottom w:w="29" w:type="dxa"/>
              <w:right w:w="115" w:type="dxa"/>
            </w:tcMar>
            <w:vAlign w:val="center"/>
          </w:tcPr>
          <w:p w14:paraId="2C6AD36D" w14:textId="77777777" w:rsidR="0038613F" w:rsidRPr="00A1040E" w:rsidRDefault="0038613F">
            <w:pPr>
              <w:suppressLineNumbers/>
              <w:suppressAutoHyphens/>
              <w:kinsoku w:val="0"/>
              <w:overflowPunct w:val="0"/>
              <w:autoSpaceDE w:val="0"/>
              <w:autoSpaceDN w:val="0"/>
              <w:adjustRightInd w:val="0"/>
              <w:snapToGrid w:val="0"/>
              <w:jc w:val="left"/>
              <w:rPr>
                <w:rFonts w:eastAsia="SimSun"/>
                <w:kern w:val="22"/>
                <w:szCs w:val="22"/>
              </w:rPr>
            </w:pPr>
            <w:r w:rsidRPr="00A1040E">
              <w:rPr>
                <w:rFonts w:eastAsia="SimSun"/>
                <w:kern w:val="22"/>
                <w:szCs w:val="22"/>
              </w:rPr>
              <w:t>Q.18 requires revision</w:t>
            </w:r>
          </w:p>
        </w:tc>
      </w:tr>
      <w:tr w:rsidR="0038613F" w:rsidRPr="00A1040E" w14:paraId="531AC266" w14:textId="77777777" w:rsidTr="00EA1A55">
        <w:trPr>
          <w:cantSplit/>
          <w:jc w:val="center"/>
        </w:trPr>
        <w:tc>
          <w:tcPr>
            <w:tcW w:w="9483" w:type="dxa"/>
            <w:gridSpan w:val="4"/>
            <w:tcBorders>
              <w:bottom w:val="single" w:sz="4" w:space="0" w:color="auto"/>
            </w:tcBorders>
            <w:shd w:val="pct5" w:color="auto" w:fill="auto"/>
            <w:tcMar>
              <w:top w:w="29" w:type="dxa"/>
              <w:left w:w="115" w:type="dxa"/>
              <w:bottom w:w="29" w:type="dxa"/>
              <w:right w:w="115" w:type="dxa"/>
            </w:tcMar>
            <w:vAlign w:val="center"/>
          </w:tcPr>
          <w:p w14:paraId="7327A611" w14:textId="77777777" w:rsidR="0038613F" w:rsidRPr="0052359B" w:rsidRDefault="0038613F">
            <w:pPr>
              <w:keepNext/>
              <w:suppressLineNumbers/>
              <w:suppressAutoHyphens/>
              <w:kinsoku w:val="0"/>
              <w:overflowPunct w:val="0"/>
              <w:autoSpaceDE w:val="0"/>
              <w:autoSpaceDN w:val="0"/>
              <w:adjustRightInd w:val="0"/>
              <w:snapToGrid w:val="0"/>
              <w:ind w:left="317"/>
              <w:jc w:val="left"/>
              <w:rPr>
                <w:rFonts w:eastAsia="SimSun"/>
                <w:b/>
                <w:kern w:val="22"/>
                <w:szCs w:val="22"/>
              </w:rPr>
            </w:pPr>
            <w:r w:rsidRPr="00A1040E">
              <w:rPr>
                <w:rFonts w:eastAsia="SimSun"/>
                <w:b/>
                <w:kern w:val="22"/>
                <w:szCs w:val="22"/>
              </w:rPr>
              <w:t>Legislative, administrative or policy measures on ABS: Fair and equitable-sharing (Article 5)</w:t>
            </w:r>
          </w:p>
        </w:tc>
      </w:tr>
      <w:tr w:rsidR="0038613F" w:rsidRPr="00A1040E" w14:paraId="1B52921E" w14:textId="77777777" w:rsidTr="00EA1A55">
        <w:trPr>
          <w:cantSplit/>
          <w:jc w:val="center"/>
        </w:trPr>
        <w:tc>
          <w:tcPr>
            <w:tcW w:w="5552" w:type="dxa"/>
            <w:shd w:val="clear" w:color="auto" w:fill="auto"/>
            <w:tcMar>
              <w:top w:w="29" w:type="dxa"/>
              <w:left w:w="115" w:type="dxa"/>
              <w:bottom w:w="29" w:type="dxa"/>
              <w:right w:w="115" w:type="dxa"/>
            </w:tcMar>
          </w:tcPr>
          <w:p w14:paraId="44A0B65F"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23.</w:t>
            </w:r>
            <w:r w:rsidRPr="00A1040E">
              <w:rPr>
                <w:rFonts w:eastAsia="SimSun"/>
                <w:kern w:val="22"/>
                <w:szCs w:val="22"/>
              </w:rPr>
              <w:tab/>
            </w:r>
            <w:r w:rsidRPr="0052359B">
              <w:rPr>
                <w:rFonts w:eastAsia="Calibri"/>
                <w:color w:val="000000"/>
                <w:kern w:val="22"/>
                <w:szCs w:val="22"/>
                <w:u w:color="000000"/>
              </w:rPr>
              <w:t xml:space="preserve">Number and percentage </w:t>
            </w:r>
            <w:r w:rsidRPr="0052359B">
              <w:rPr>
                <w:rFonts w:eastAsia="SimSun"/>
                <w:kern w:val="22"/>
                <w:szCs w:val="22"/>
              </w:rPr>
              <w:t>of Parties with legislative, administrative or policy measures to implement Article 5.1 (genetic resources)</w:t>
            </w:r>
          </w:p>
        </w:tc>
        <w:tc>
          <w:tcPr>
            <w:tcW w:w="1104" w:type="dxa"/>
            <w:shd w:val="clear" w:color="auto" w:fill="auto"/>
            <w:tcMar>
              <w:top w:w="29" w:type="dxa"/>
              <w:left w:w="115" w:type="dxa"/>
              <w:bottom w:w="29" w:type="dxa"/>
              <w:right w:w="115" w:type="dxa"/>
            </w:tcMar>
            <w:vAlign w:val="center"/>
          </w:tcPr>
          <w:p w14:paraId="648122E4"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Malgun Gothic"/>
                <w:kern w:val="22"/>
                <w:szCs w:val="22"/>
              </w:rPr>
              <w:t>(a)</w:t>
            </w:r>
          </w:p>
        </w:tc>
        <w:tc>
          <w:tcPr>
            <w:tcW w:w="1506" w:type="dxa"/>
            <w:shd w:val="clear" w:color="auto" w:fill="auto"/>
            <w:tcMar>
              <w:top w:w="29" w:type="dxa"/>
              <w:left w:w="115" w:type="dxa"/>
              <w:bottom w:w="29" w:type="dxa"/>
              <w:right w:w="115" w:type="dxa"/>
            </w:tcMar>
            <w:vAlign w:val="center"/>
          </w:tcPr>
          <w:p w14:paraId="49247080" w14:textId="77777777" w:rsidR="0038613F" w:rsidRPr="00A57937" w:rsidRDefault="0038613F">
            <w:pPr>
              <w:suppressLineNumbers/>
              <w:suppressAutoHyphens/>
              <w:kinsoku w:val="0"/>
              <w:overflowPunct w:val="0"/>
              <w:autoSpaceDE w:val="0"/>
              <w:autoSpaceDN w:val="0"/>
              <w:adjustRightInd w:val="0"/>
              <w:snapToGrid w:val="0"/>
              <w:jc w:val="center"/>
              <w:rPr>
                <w:rFonts w:eastAsia="SimSun"/>
                <w:kern w:val="22"/>
                <w:szCs w:val="22"/>
              </w:rPr>
            </w:pPr>
            <w:r w:rsidRPr="00A57937">
              <w:rPr>
                <w:rFonts w:eastAsia="SimSun"/>
                <w:kern w:val="22"/>
                <w:szCs w:val="22"/>
              </w:rPr>
              <w:t>46 (44%)</w:t>
            </w:r>
          </w:p>
        </w:tc>
        <w:tc>
          <w:tcPr>
            <w:tcW w:w="1321" w:type="dxa"/>
            <w:shd w:val="clear" w:color="auto" w:fill="auto"/>
            <w:tcMar>
              <w:top w:w="29" w:type="dxa"/>
              <w:left w:w="115" w:type="dxa"/>
              <w:bottom w:w="29" w:type="dxa"/>
              <w:right w:w="115" w:type="dxa"/>
            </w:tcMar>
            <w:vAlign w:val="center"/>
          </w:tcPr>
          <w:p w14:paraId="15FCB904"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Q.20</w:t>
            </w:r>
          </w:p>
        </w:tc>
      </w:tr>
      <w:tr w:rsidR="0038613F" w:rsidRPr="00A1040E" w14:paraId="14357A23" w14:textId="77777777" w:rsidTr="00EA1A55">
        <w:trPr>
          <w:cantSplit/>
          <w:jc w:val="center"/>
        </w:trPr>
        <w:tc>
          <w:tcPr>
            <w:tcW w:w="5552" w:type="dxa"/>
            <w:shd w:val="clear" w:color="auto" w:fill="auto"/>
            <w:tcMar>
              <w:top w:w="29" w:type="dxa"/>
              <w:left w:w="115" w:type="dxa"/>
              <w:bottom w:w="29" w:type="dxa"/>
              <w:right w:w="115" w:type="dxa"/>
            </w:tcMar>
          </w:tcPr>
          <w:p w14:paraId="49BC3D33"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24.</w:t>
            </w:r>
            <w:r w:rsidRPr="00A1040E">
              <w:rPr>
                <w:rFonts w:eastAsia="SimSun"/>
                <w:kern w:val="22"/>
                <w:szCs w:val="22"/>
              </w:rPr>
              <w:tab/>
            </w:r>
            <w:r w:rsidRPr="0052359B">
              <w:rPr>
                <w:rFonts w:eastAsia="Calibri"/>
                <w:color w:val="000000"/>
                <w:kern w:val="22"/>
                <w:szCs w:val="22"/>
                <w:u w:color="000000"/>
              </w:rPr>
              <w:t xml:space="preserve">Number and percentage </w:t>
            </w:r>
            <w:r w:rsidRPr="0052359B">
              <w:rPr>
                <w:rFonts w:eastAsia="SimSun"/>
                <w:kern w:val="22"/>
                <w:szCs w:val="22"/>
              </w:rPr>
              <w:t xml:space="preserve">of Parties with legislative, administrative or policy measures to implement </w:t>
            </w:r>
            <w:r w:rsidRPr="008964A8">
              <w:rPr>
                <w:rFonts w:eastAsia="SimSun"/>
                <w:kern w:val="22"/>
                <w:szCs w:val="22"/>
              </w:rPr>
              <w:t>Article 5.2 (genetic resources held by indigenous peoples and local communities)</w:t>
            </w:r>
          </w:p>
        </w:tc>
        <w:tc>
          <w:tcPr>
            <w:tcW w:w="1104" w:type="dxa"/>
            <w:shd w:val="clear" w:color="auto" w:fill="auto"/>
            <w:tcMar>
              <w:top w:w="29" w:type="dxa"/>
              <w:left w:w="115" w:type="dxa"/>
              <w:bottom w:w="29" w:type="dxa"/>
              <w:right w:w="115" w:type="dxa"/>
            </w:tcMar>
            <w:vAlign w:val="center"/>
          </w:tcPr>
          <w:p w14:paraId="55849F20"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Malgun Gothic"/>
                <w:kern w:val="22"/>
                <w:szCs w:val="22"/>
              </w:rPr>
              <w:t>(a)</w:t>
            </w:r>
          </w:p>
        </w:tc>
        <w:tc>
          <w:tcPr>
            <w:tcW w:w="1506" w:type="dxa"/>
            <w:shd w:val="clear" w:color="auto" w:fill="auto"/>
            <w:tcMar>
              <w:top w:w="29" w:type="dxa"/>
              <w:left w:w="115" w:type="dxa"/>
              <w:bottom w:w="29" w:type="dxa"/>
              <w:right w:w="115" w:type="dxa"/>
            </w:tcMar>
            <w:vAlign w:val="center"/>
          </w:tcPr>
          <w:p w14:paraId="5BD9610B" w14:textId="77777777" w:rsidR="0038613F" w:rsidRPr="00A57937" w:rsidRDefault="0038613F">
            <w:pPr>
              <w:suppressLineNumbers/>
              <w:suppressAutoHyphens/>
              <w:kinsoku w:val="0"/>
              <w:overflowPunct w:val="0"/>
              <w:autoSpaceDE w:val="0"/>
              <w:autoSpaceDN w:val="0"/>
              <w:adjustRightInd w:val="0"/>
              <w:snapToGrid w:val="0"/>
              <w:jc w:val="center"/>
              <w:rPr>
                <w:rFonts w:eastAsia="SimSun"/>
                <w:kern w:val="22"/>
                <w:szCs w:val="22"/>
              </w:rPr>
            </w:pPr>
            <w:r w:rsidRPr="00A57937">
              <w:rPr>
                <w:rFonts w:eastAsia="SimSun"/>
                <w:kern w:val="22"/>
                <w:szCs w:val="22"/>
              </w:rPr>
              <w:t>42 (40%)</w:t>
            </w:r>
          </w:p>
        </w:tc>
        <w:tc>
          <w:tcPr>
            <w:tcW w:w="1321" w:type="dxa"/>
            <w:shd w:val="clear" w:color="auto" w:fill="auto"/>
            <w:tcMar>
              <w:top w:w="29" w:type="dxa"/>
              <w:left w:w="115" w:type="dxa"/>
              <w:bottom w:w="29" w:type="dxa"/>
              <w:right w:w="115" w:type="dxa"/>
            </w:tcMar>
            <w:vAlign w:val="center"/>
          </w:tcPr>
          <w:p w14:paraId="3D6CDBB5"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Q.21</w:t>
            </w:r>
          </w:p>
        </w:tc>
      </w:tr>
      <w:tr w:rsidR="0038613F" w:rsidRPr="00A1040E" w14:paraId="3D7578A7" w14:textId="77777777"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629B39D9" w14:textId="77777777" w:rsidR="0038613F" w:rsidRPr="000346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0346A8">
              <w:rPr>
                <w:rFonts w:eastAsia="SimSun"/>
                <w:kern w:val="22"/>
                <w:szCs w:val="22"/>
              </w:rPr>
              <w:t>25.</w:t>
            </w:r>
            <w:r w:rsidRPr="000346A8">
              <w:rPr>
                <w:rFonts w:eastAsia="SimSun"/>
                <w:kern w:val="22"/>
                <w:szCs w:val="22"/>
              </w:rPr>
              <w:tab/>
            </w:r>
            <w:r w:rsidRPr="000346A8">
              <w:rPr>
                <w:rFonts w:eastAsia="Calibri"/>
                <w:color w:val="000000"/>
                <w:kern w:val="22"/>
                <w:szCs w:val="22"/>
                <w:u w:color="000000"/>
              </w:rPr>
              <w:t xml:space="preserve">Number and percentage </w:t>
            </w:r>
            <w:r w:rsidRPr="000346A8">
              <w:rPr>
                <w:rFonts w:eastAsia="SimSun"/>
                <w:kern w:val="22"/>
                <w:szCs w:val="22"/>
              </w:rPr>
              <w:t>of Parties with legislative, administrative or policy measures to implement Article 5.5 (traditional knowledge associated with genetic resources)</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78072F51" w14:textId="77777777" w:rsidR="0038613F" w:rsidRPr="0052359B" w:rsidRDefault="0038613F">
            <w:pPr>
              <w:suppressLineNumbers/>
              <w:suppressAutoHyphens/>
              <w:kinsoku w:val="0"/>
              <w:overflowPunct w:val="0"/>
              <w:autoSpaceDE w:val="0"/>
              <w:autoSpaceDN w:val="0"/>
              <w:adjustRightInd w:val="0"/>
              <w:snapToGrid w:val="0"/>
              <w:jc w:val="center"/>
              <w:rPr>
                <w:rFonts w:eastAsia="Calibri"/>
                <w:kern w:val="22"/>
                <w:szCs w:val="22"/>
              </w:rPr>
            </w:pPr>
            <w:r w:rsidRPr="00A1040E">
              <w:rPr>
                <w:rFonts w:eastAsia="Malgun Gothic"/>
                <w:kern w:val="22"/>
                <w:szCs w:val="22"/>
              </w:rPr>
              <w:t>(a)</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46AF2F6F" w14:textId="77777777" w:rsidR="0038613F" w:rsidRPr="008964A8" w:rsidRDefault="0038613F">
            <w:pPr>
              <w:suppressLineNumbers/>
              <w:suppressAutoHyphens/>
              <w:kinsoku w:val="0"/>
              <w:overflowPunct w:val="0"/>
              <w:autoSpaceDE w:val="0"/>
              <w:autoSpaceDN w:val="0"/>
              <w:adjustRightInd w:val="0"/>
              <w:snapToGrid w:val="0"/>
              <w:jc w:val="center"/>
              <w:rPr>
                <w:rFonts w:eastAsia="SimSun"/>
                <w:kern w:val="22"/>
                <w:szCs w:val="22"/>
              </w:rPr>
            </w:pPr>
            <w:r w:rsidRPr="008964A8">
              <w:rPr>
                <w:rFonts w:eastAsia="SimSun"/>
                <w:kern w:val="22"/>
                <w:szCs w:val="22"/>
              </w:rPr>
              <w:t>41(39%)</w:t>
            </w:r>
          </w:p>
        </w:tc>
        <w:tc>
          <w:tcPr>
            <w:tcW w:w="1321" w:type="dxa"/>
            <w:tcBorders>
              <w:bottom w:val="single" w:sz="4" w:space="0" w:color="auto"/>
            </w:tcBorders>
            <w:shd w:val="clear" w:color="auto" w:fill="auto"/>
            <w:tcMar>
              <w:top w:w="29" w:type="dxa"/>
              <w:left w:w="115" w:type="dxa"/>
              <w:bottom w:w="29" w:type="dxa"/>
              <w:right w:w="115" w:type="dxa"/>
            </w:tcMar>
            <w:vAlign w:val="center"/>
          </w:tcPr>
          <w:p w14:paraId="49BB9CA6" w14:textId="77777777" w:rsidR="0038613F" w:rsidRPr="00C649EC" w:rsidRDefault="0038613F">
            <w:pPr>
              <w:suppressLineNumbers/>
              <w:suppressAutoHyphens/>
              <w:kinsoku w:val="0"/>
              <w:overflowPunct w:val="0"/>
              <w:autoSpaceDE w:val="0"/>
              <w:autoSpaceDN w:val="0"/>
              <w:adjustRightInd w:val="0"/>
              <w:snapToGrid w:val="0"/>
              <w:jc w:val="left"/>
              <w:rPr>
                <w:rFonts w:eastAsia="SimSun"/>
                <w:kern w:val="22"/>
                <w:szCs w:val="22"/>
              </w:rPr>
            </w:pPr>
            <w:r w:rsidRPr="00C649EC">
              <w:rPr>
                <w:rFonts w:eastAsia="SimSun"/>
                <w:kern w:val="22"/>
                <w:szCs w:val="22"/>
              </w:rPr>
              <w:t>Q.22</w:t>
            </w:r>
          </w:p>
        </w:tc>
      </w:tr>
      <w:tr w:rsidR="0038613F" w:rsidRPr="00A1040E" w14:paraId="17F63BEC" w14:textId="77777777" w:rsidTr="00EA1A55">
        <w:trPr>
          <w:cantSplit/>
          <w:jc w:val="center"/>
        </w:trPr>
        <w:tc>
          <w:tcPr>
            <w:tcW w:w="9483" w:type="dxa"/>
            <w:gridSpan w:val="4"/>
            <w:shd w:val="pct5" w:color="auto" w:fill="auto"/>
            <w:tcMar>
              <w:top w:w="29" w:type="dxa"/>
              <w:left w:w="115" w:type="dxa"/>
              <w:bottom w:w="29" w:type="dxa"/>
              <w:right w:w="115" w:type="dxa"/>
            </w:tcMar>
            <w:vAlign w:val="center"/>
          </w:tcPr>
          <w:p w14:paraId="5EA26B2B" w14:textId="77777777" w:rsidR="0038613F" w:rsidRPr="008964A8" w:rsidRDefault="0038613F">
            <w:pPr>
              <w:suppressLineNumbers/>
              <w:suppressAutoHyphens/>
              <w:kinsoku w:val="0"/>
              <w:overflowPunct w:val="0"/>
              <w:autoSpaceDE w:val="0"/>
              <w:autoSpaceDN w:val="0"/>
              <w:adjustRightInd w:val="0"/>
              <w:snapToGrid w:val="0"/>
              <w:ind w:left="314"/>
              <w:jc w:val="left"/>
              <w:rPr>
                <w:rFonts w:eastAsia="SimSun"/>
                <w:b/>
                <w:kern w:val="22"/>
                <w:szCs w:val="22"/>
              </w:rPr>
            </w:pPr>
            <w:r w:rsidRPr="00A1040E">
              <w:rPr>
                <w:rFonts w:eastAsia="SimSun"/>
                <w:b/>
                <w:kern w:val="22"/>
                <w:szCs w:val="22"/>
              </w:rPr>
              <w:t>Legislative, administrative or policy measures on ABS: Compliance with domestic legislation or regulatory requirements on ABS (Article 15 and 16) and monitoring the utilization of genetic resources (Article 17)</w:t>
            </w:r>
          </w:p>
        </w:tc>
      </w:tr>
      <w:tr w:rsidR="0038613F" w:rsidRPr="00A1040E" w14:paraId="0AB6D173" w14:textId="77777777" w:rsidTr="00EA1A55">
        <w:trPr>
          <w:cantSplit/>
          <w:jc w:val="center"/>
        </w:trPr>
        <w:tc>
          <w:tcPr>
            <w:tcW w:w="5552" w:type="dxa"/>
            <w:shd w:val="clear" w:color="auto" w:fill="auto"/>
            <w:tcMar>
              <w:top w:w="29" w:type="dxa"/>
              <w:left w:w="115" w:type="dxa"/>
              <w:bottom w:w="29" w:type="dxa"/>
              <w:right w:w="115" w:type="dxa"/>
            </w:tcMar>
          </w:tcPr>
          <w:p w14:paraId="5C658468"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Malgun Gothic"/>
                <w:kern w:val="22"/>
                <w:szCs w:val="22"/>
              </w:rPr>
            </w:pPr>
            <w:r w:rsidRPr="00A1040E">
              <w:rPr>
                <w:rFonts w:eastAsia="Malgun Gothic"/>
                <w:kern w:val="22"/>
                <w:szCs w:val="22"/>
              </w:rPr>
              <w:t>26.</w:t>
            </w:r>
            <w:r w:rsidRPr="00A1040E">
              <w:rPr>
                <w:rFonts w:eastAsia="Malgun Gothic"/>
                <w:kern w:val="22"/>
                <w:szCs w:val="22"/>
              </w:rPr>
              <w:tab/>
            </w:r>
            <w:r w:rsidRPr="0052359B">
              <w:rPr>
                <w:rFonts w:eastAsia="Malgun Gothic"/>
                <w:kern w:val="22"/>
                <w:szCs w:val="22"/>
              </w:rPr>
              <w:t>Number and percentage of Parties that have taken appropriate, effective and proportionate legislative, administrative or policy measures to implement Article 15.1 (genetic resources)</w:t>
            </w:r>
          </w:p>
        </w:tc>
        <w:tc>
          <w:tcPr>
            <w:tcW w:w="1104" w:type="dxa"/>
            <w:shd w:val="clear" w:color="auto" w:fill="auto"/>
            <w:tcMar>
              <w:top w:w="29" w:type="dxa"/>
              <w:left w:w="115" w:type="dxa"/>
              <w:bottom w:w="29" w:type="dxa"/>
              <w:right w:w="115" w:type="dxa"/>
            </w:tcMar>
            <w:vAlign w:val="center"/>
          </w:tcPr>
          <w:p w14:paraId="3D95620C"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(b)</w:t>
            </w:r>
          </w:p>
        </w:tc>
        <w:tc>
          <w:tcPr>
            <w:tcW w:w="1506" w:type="dxa"/>
            <w:shd w:val="clear" w:color="auto" w:fill="auto"/>
            <w:tcMar>
              <w:top w:w="29" w:type="dxa"/>
              <w:left w:w="115" w:type="dxa"/>
              <w:bottom w:w="29" w:type="dxa"/>
              <w:right w:w="115" w:type="dxa"/>
            </w:tcMar>
            <w:vAlign w:val="center"/>
          </w:tcPr>
          <w:p w14:paraId="26DF3F27" w14:textId="77777777" w:rsidR="0038613F" w:rsidRPr="00A57937" w:rsidRDefault="0038613F">
            <w:pPr>
              <w:suppressLineNumbers/>
              <w:suppressAutoHyphens/>
              <w:kinsoku w:val="0"/>
              <w:overflowPunct w:val="0"/>
              <w:autoSpaceDE w:val="0"/>
              <w:autoSpaceDN w:val="0"/>
              <w:adjustRightInd w:val="0"/>
              <w:snapToGrid w:val="0"/>
              <w:jc w:val="center"/>
              <w:rPr>
                <w:rFonts w:eastAsia="SimSun"/>
                <w:kern w:val="22"/>
                <w:szCs w:val="22"/>
              </w:rPr>
            </w:pPr>
            <w:r w:rsidRPr="00A57937">
              <w:rPr>
                <w:rFonts w:eastAsia="SimSun"/>
                <w:kern w:val="22"/>
                <w:szCs w:val="22"/>
              </w:rPr>
              <w:t>36 (34%)</w:t>
            </w:r>
          </w:p>
        </w:tc>
        <w:tc>
          <w:tcPr>
            <w:tcW w:w="1321" w:type="dxa"/>
            <w:shd w:val="clear" w:color="auto" w:fill="auto"/>
            <w:tcMar>
              <w:top w:w="29" w:type="dxa"/>
              <w:left w:w="115" w:type="dxa"/>
              <w:bottom w:w="29" w:type="dxa"/>
              <w:right w:w="115" w:type="dxa"/>
            </w:tcMar>
            <w:vAlign w:val="center"/>
          </w:tcPr>
          <w:p w14:paraId="5D867802" w14:textId="77777777" w:rsidR="0038613F" w:rsidRPr="00B31519"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B31519">
              <w:rPr>
                <w:rFonts w:eastAsia="Malgun Gothic"/>
                <w:kern w:val="22"/>
                <w:szCs w:val="22"/>
              </w:rPr>
              <w:t>Q.24</w:t>
            </w:r>
          </w:p>
        </w:tc>
      </w:tr>
      <w:tr w:rsidR="0038613F" w:rsidRPr="00A1040E" w14:paraId="18B4B9BE" w14:textId="77777777" w:rsidTr="00EA1A55">
        <w:trPr>
          <w:cantSplit/>
          <w:jc w:val="center"/>
        </w:trPr>
        <w:tc>
          <w:tcPr>
            <w:tcW w:w="5552" w:type="dxa"/>
            <w:shd w:val="clear" w:color="auto" w:fill="auto"/>
            <w:tcMar>
              <w:top w:w="29" w:type="dxa"/>
              <w:left w:w="115" w:type="dxa"/>
              <w:bottom w:w="29" w:type="dxa"/>
              <w:right w:w="115" w:type="dxa"/>
            </w:tcMar>
          </w:tcPr>
          <w:p w14:paraId="228DF1C2" w14:textId="77777777" w:rsidR="0038613F" w:rsidRPr="000346A8" w:rsidRDefault="0038613F">
            <w:pPr>
              <w:suppressLineNumbers/>
              <w:suppressAutoHyphens/>
              <w:kinsoku w:val="0"/>
              <w:overflowPunct w:val="0"/>
              <w:autoSpaceDE w:val="0"/>
              <w:autoSpaceDN w:val="0"/>
              <w:adjustRightInd w:val="0"/>
              <w:snapToGrid w:val="0"/>
              <w:ind w:left="314" w:hanging="360"/>
              <w:rPr>
                <w:rFonts w:eastAsia="Malgun Gothic"/>
                <w:kern w:val="22"/>
                <w:szCs w:val="22"/>
              </w:rPr>
            </w:pPr>
            <w:r w:rsidRPr="000346A8">
              <w:rPr>
                <w:rFonts w:eastAsia="Malgun Gothic"/>
                <w:kern w:val="22"/>
                <w:szCs w:val="22"/>
              </w:rPr>
              <w:t>27.</w:t>
            </w:r>
            <w:r w:rsidRPr="000346A8">
              <w:rPr>
                <w:rFonts w:eastAsia="Malgun Gothic"/>
                <w:kern w:val="22"/>
                <w:szCs w:val="22"/>
              </w:rPr>
              <w:tab/>
              <w:t>Number and percentage of Parties that have taken appropriate, effective and proportionate legislative, administrative or policy measures to implement Article 16.1 (traditional knowledge associated with genetic resources)</w:t>
            </w:r>
          </w:p>
        </w:tc>
        <w:tc>
          <w:tcPr>
            <w:tcW w:w="1104" w:type="dxa"/>
            <w:shd w:val="clear" w:color="auto" w:fill="auto"/>
            <w:tcMar>
              <w:top w:w="29" w:type="dxa"/>
              <w:left w:w="115" w:type="dxa"/>
              <w:bottom w:w="29" w:type="dxa"/>
              <w:right w:w="115" w:type="dxa"/>
            </w:tcMar>
            <w:vAlign w:val="center"/>
          </w:tcPr>
          <w:p w14:paraId="3A80762B" w14:textId="77777777" w:rsidR="0038613F" w:rsidRPr="0052359B" w:rsidRDefault="0038613F">
            <w:pPr>
              <w:suppressLineNumbers/>
              <w:suppressAutoHyphens/>
              <w:kinsoku w:val="0"/>
              <w:overflowPunct w:val="0"/>
              <w:autoSpaceDE w:val="0"/>
              <w:autoSpaceDN w:val="0"/>
              <w:adjustRightInd w:val="0"/>
              <w:snapToGrid w:val="0"/>
              <w:jc w:val="center"/>
              <w:rPr>
                <w:rFonts w:eastAsia="Calibri"/>
                <w:kern w:val="22"/>
                <w:szCs w:val="22"/>
              </w:rPr>
            </w:pPr>
            <w:r w:rsidRPr="00A1040E">
              <w:rPr>
                <w:rFonts w:eastAsia="Calibri"/>
                <w:kern w:val="22"/>
                <w:szCs w:val="22"/>
              </w:rPr>
              <w:t>(e)</w:t>
            </w:r>
          </w:p>
        </w:tc>
        <w:tc>
          <w:tcPr>
            <w:tcW w:w="1506" w:type="dxa"/>
            <w:shd w:val="clear" w:color="auto" w:fill="auto"/>
            <w:tcMar>
              <w:top w:w="29" w:type="dxa"/>
              <w:left w:w="115" w:type="dxa"/>
              <w:bottom w:w="29" w:type="dxa"/>
              <w:right w:w="115" w:type="dxa"/>
            </w:tcMar>
            <w:vAlign w:val="center"/>
          </w:tcPr>
          <w:p w14:paraId="6D422F87" w14:textId="77777777" w:rsidR="0038613F" w:rsidRPr="008964A8" w:rsidRDefault="0038613F">
            <w:pPr>
              <w:suppressLineNumbers/>
              <w:suppressAutoHyphens/>
              <w:kinsoku w:val="0"/>
              <w:overflowPunct w:val="0"/>
              <w:autoSpaceDE w:val="0"/>
              <w:autoSpaceDN w:val="0"/>
              <w:adjustRightInd w:val="0"/>
              <w:snapToGrid w:val="0"/>
              <w:jc w:val="center"/>
              <w:rPr>
                <w:rFonts w:eastAsia="SimSun"/>
                <w:kern w:val="22"/>
                <w:szCs w:val="22"/>
              </w:rPr>
            </w:pPr>
            <w:r w:rsidRPr="008964A8">
              <w:rPr>
                <w:rFonts w:eastAsia="SimSun"/>
                <w:kern w:val="22"/>
                <w:szCs w:val="22"/>
              </w:rPr>
              <w:t>33 (31%)</w:t>
            </w:r>
          </w:p>
        </w:tc>
        <w:tc>
          <w:tcPr>
            <w:tcW w:w="1321" w:type="dxa"/>
            <w:shd w:val="clear" w:color="auto" w:fill="auto"/>
            <w:tcMar>
              <w:top w:w="29" w:type="dxa"/>
              <w:left w:w="115" w:type="dxa"/>
              <w:bottom w:w="29" w:type="dxa"/>
              <w:right w:w="115" w:type="dxa"/>
            </w:tcMar>
            <w:vAlign w:val="center"/>
          </w:tcPr>
          <w:p w14:paraId="1F263B11" w14:textId="77777777" w:rsidR="0038613F" w:rsidRPr="00C649EC"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C649EC">
              <w:rPr>
                <w:rFonts w:eastAsia="Malgun Gothic"/>
                <w:kern w:val="22"/>
                <w:szCs w:val="22"/>
              </w:rPr>
              <w:t>Q.25</w:t>
            </w:r>
          </w:p>
        </w:tc>
      </w:tr>
      <w:tr w:rsidR="0038613F" w:rsidRPr="00A1040E" w14:paraId="6484F7C3" w14:textId="77777777" w:rsidTr="00EA1A55">
        <w:trPr>
          <w:cantSplit/>
          <w:jc w:val="center"/>
        </w:trPr>
        <w:tc>
          <w:tcPr>
            <w:tcW w:w="5552" w:type="dxa"/>
            <w:shd w:val="clear" w:color="auto" w:fill="auto"/>
            <w:tcMar>
              <w:top w:w="29" w:type="dxa"/>
              <w:left w:w="115" w:type="dxa"/>
              <w:bottom w:w="29" w:type="dxa"/>
              <w:right w:w="115" w:type="dxa"/>
            </w:tcMar>
          </w:tcPr>
          <w:p w14:paraId="68467B33" w14:textId="77777777" w:rsidR="0038613F" w:rsidRPr="000346A8" w:rsidRDefault="0038613F">
            <w:pPr>
              <w:suppressLineNumbers/>
              <w:suppressAutoHyphens/>
              <w:kinsoku w:val="0"/>
              <w:overflowPunct w:val="0"/>
              <w:autoSpaceDE w:val="0"/>
              <w:autoSpaceDN w:val="0"/>
              <w:adjustRightInd w:val="0"/>
              <w:snapToGrid w:val="0"/>
              <w:ind w:left="314" w:hanging="360"/>
              <w:rPr>
                <w:rFonts w:eastAsia="Malgun Gothic"/>
                <w:kern w:val="22"/>
                <w:szCs w:val="22"/>
              </w:rPr>
            </w:pPr>
            <w:r w:rsidRPr="000346A8">
              <w:rPr>
                <w:rFonts w:eastAsia="Malgun Gothic"/>
                <w:kern w:val="22"/>
                <w:szCs w:val="22"/>
              </w:rPr>
              <w:t>28.</w:t>
            </w:r>
            <w:r w:rsidRPr="000346A8">
              <w:rPr>
                <w:rFonts w:eastAsia="Malgun Gothic"/>
                <w:kern w:val="22"/>
                <w:szCs w:val="22"/>
              </w:rPr>
              <w:tab/>
              <w:t>Number and percentage of Parties that require users of genetic resources to provide the information identified in Article 17.1 (a)(i), as appropriate, at a designated checkpoint</w:t>
            </w:r>
          </w:p>
        </w:tc>
        <w:tc>
          <w:tcPr>
            <w:tcW w:w="1104" w:type="dxa"/>
            <w:shd w:val="clear" w:color="auto" w:fill="auto"/>
            <w:tcMar>
              <w:top w:w="29" w:type="dxa"/>
              <w:left w:w="115" w:type="dxa"/>
              <w:bottom w:w="29" w:type="dxa"/>
              <w:right w:w="115" w:type="dxa"/>
            </w:tcMar>
            <w:vAlign w:val="center"/>
          </w:tcPr>
          <w:p w14:paraId="72F130CF" w14:textId="77777777" w:rsidR="0038613F" w:rsidRPr="0052359B" w:rsidRDefault="0038613F">
            <w:pPr>
              <w:suppressLineNumbers/>
              <w:suppressAutoHyphens/>
              <w:kinsoku w:val="0"/>
              <w:overflowPunct w:val="0"/>
              <w:autoSpaceDE w:val="0"/>
              <w:autoSpaceDN w:val="0"/>
              <w:adjustRightInd w:val="0"/>
              <w:snapToGrid w:val="0"/>
              <w:jc w:val="center"/>
              <w:rPr>
                <w:rFonts w:eastAsia="Calibri"/>
                <w:kern w:val="22"/>
                <w:szCs w:val="22"/>
              </w:rPr>
            </w:pPr>
            <w:r w:rsidRPr="00A1040E">
              <w:rPr>
                <w:rFonts w:eastAsia="Calibri"/>
                <w:kern w:val="22"/>
                <w:szCs w:val="22"/>
              </w:rPr>
              <w:t>(a)</w:t>
            </w:r>
          </w:p>
        </w:tc>
        <w:tc>
          <w:tcPr>
            <w:tcW w:w="1506" w:type="dxa"/>
            <w:shd w:val="clear" w:color="auto" w:fill="auto"/>
            <w:tcMar>
              <w:top w:w="29" w:type="dxa"/>
              <w:left w:w="115" w:type="dxa"/>
              <w:bottom w:w="29" w:type="dxa"/>
              <w:right w:w="115" w:type="dxa"/>
            </w:tcMar>
            <w:vAlign w:val="center"/>
          </w:tcPr>
          <w:p w14:paraId="29EA7ADF" w14:textId="77777777" w:rsidR="0038613F" w:rsidRPr="008964A8" w:rsidRDefault="0038613F">
            <w:pPr>
              <w:suppressLineNumbers/>
              <w:suppressAutoHyphens/>
              <w:kinsoku w:val="0"/>
              <w:overflowPunct w:val="0"/>
              <w:autoSpaceDE w:val="0"/>
              <w:autoSpaceDN w:val="0"/>
              <w:adjustRightInd w:val="0"/>
              <w:snapToGrid w:val="0"/>
              <w:jc w:val="center"/>
              <w:rPr>
                <w:rFonts w:eastAsia="SimSun"/>
                <w:kern w:val="22"/>
                <w:szCs w:val="22"/>
              </w:rPr>
            </w:pPr>
            <w:r w:rsidRPr="008964A8">
              <w:rPr>
                <w:rFonts w:eastAsia="SimSun"/>
                <w:kern w:val="22"/>
                <w:szCs w:val="22"/>
              </w:rPr>
              <w:t>41 (39%)</w:t>
            </w:r>
          </w:p>
        </w:tc>
        <w:tc>
          <w:tcPr>
            <w:tcW w:w="1321" w:type="dxa"/>
            <w:shd w:val="clear" w:color="auto" w:fill="auto"/>
            <w:tcMar>
              <w:top w:w="29" w:type="dxa"/>
              <w:left w:w="115" w:type="dxa"/>
              <w:bottom w:w="29" w:type="dxa"/>
              <w:right w:w="115" w:type="dxa"/>
            </w:tcMar>
            <w:vAlign w:val="center"/>
          </w:tcPr>
          <w:p w14:paraId="237898A7" w14:textId="77777777" w:rsidR="0038613F" w:rsidRPr="00C649EC"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C649EC">
              <w:rPr>
                <w:rFonts w:eastAsia="Malgun Gothic"/>
                <w:kern w:val="22"/>
                <w:szCs w:val="22"/>
              </w:rPr>
              <w:t>Q.26</w:t>
            </w:r>
          </w:p>
        </w:tc>
      </w:tr>
      <w:tr w:rsidR="0038613F" w:rsidRPr="00A1040E" w14:paraId="3E5EE764" w14:textId="77777777" w:rsidTr="00EA1A55">
        <w:trPr>
          <w:cantSplit/>
          <w:jc w:val="center"/>
        </w:trPr>
        <w:tc>
          <w:tcPr>
            <w:tcW w:w="5552" w:type="dxa"/>
            <w:shd w:val="clear" w:color="auto" w:fill="auto"/>
            <w:tcMar>
              <w:top w:w="29" w:type="dxa"/>
              <w:left w:w="115" w:type="dxa"/>
              <w:bottom w:w="29" w:type="dxa"/>
              <w:right w:w="115" w:type="dxa"/>
            </w:tcMar>
          </w:tcPr>
          <w:p w14:paraId="5C21DD6A"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Malgun Gothic"/>
                <w:kern w:val="22"/>
                <w:szCs w:val="22"/>
              </w:rPr>
            </w:pPr>
            <w:r w:rsidRPr="00A1040E">
              <w:rPr>
                <w:rFonts w:eastAsia="Malgun Gothic"/>
                <w:kern w:val="22"/>
                <w:szCs w:val="22"/>
              </w:rPr>
              <w:t>29.</w:t>
            </w:r>
            <w:r w:rsidRPr="00A1040E">
              <w:rPr>
                <w:rFonts w:eastAsia="Malgun Gothic"/>
                <w:kern w:val="22"/>
                <w:szCs w:val="22"/>
              </w:rPr>
              <w:tab/>
              <w:t>Number and percentage of Parties that provide the information collected or received at a designated checkpoint</w:t>
            </w:r>
            <w:r w:rsidRPr="008964A8">
              <w:rPr>
                <w:rFonts w:eastAsia="Malgun Gothic"/>
                <w:kern w:val="22"/>
                <w:szCs w:val="22"/>
              </w:rPr>
              <w:t xml:space="preserve"> to relevant national authorities, to the Party providing prior informed consent and to the ABS Clearing-House</w:t>
            </w:r>
          </w:p>
        </w:tc>
        <w:tc>
          <w:tcPr>
            <w:tcW w:w="1104" w:type="dxa"/>
            <w:shd w:val="clear" w:color="auto" w:fill="auto"/>
            <w:tcMar>
              <w:top w:w="29" w:type="dxa"/>
              <w:left w:w="115" w:type="dxa"/>
              <w:bottom w:w="29" w:type="dxa"/>
              <w:right w:w="115" w:type="dxa"/>
            </w:tcMar>
            <w:vAlign w:val="center"/>
          </w:tcPr>
          <w:p w14:paraId="1A3802BA"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(a)</w:t>
            </w:r>
          </w:p>
        </w:tc>
        <w:tc>
          <w:tcPr>
            <w:tcW w:w="1506" w:type="dxa"/>
            <w:shd w:val="clear" w:color="auto" w:fill="auto"/>
            <w:tcMar>
              <w:top w:w="29" w:type="dxa"/>
              <w:left w:w="115" w:type="dxa"/>
              <w:bottom w:w="29" w:type="dxa"/>
              <w:right w:w="115" w:type="dxa"/>
            </w:tcMar>
            <w:vAlign w:val="center"/>
          </w:tcPr>
          <w:p w14:paraId="71CD5D87" w14:textId="77777777" w:rsidR="0038613F" w:rsidRPr="00A57937" w:rsidRDefault="0038613F">
            <w:pPr>
              <w:suppressLineNumbers/>
              <w:suppressAutoHyphens/>
              <w:kinsoku w:val="0"/>
              <w:overflowPunct w:val="0"/>
              <w:autoSpaceDE w:val="0"/>
              <w:autoSpaceDN w:val="0"/>
              <w:adjustRightInd w:val="0"/>
              <w:snapToGrid w:val="0"/>
              <w:jc w:val="center"/>
              <w:rPr>
                <w:rFonts w:eastAsia="SimSun"/>
                <w:kern w:val="22"/>
                <w:szCs w:val="22"/>
              </w:rPr>
            </w:pPr>
            <w:r w:rsidRPr="00A57937">
              <w:rPr>
                <w:rFonts w:eastAsia="SimSun"/>
                <w:kern w:val="22"/>
                <w:szCs w:val="22"/>
              </w:rPr>
              <w:t>9 (9%)</w:t>
            </w:r>
          </w:p>
        </w:tc>
        <w:tc>
          <w:tcPr>
            <w:tcW w:w="1321" w:type="dxa"/>
            <w:shd w:val="clear" w:color="auto" w:fill="auto"/>
            <w:tcMar>
              <w:top w:w="29" w:type="dxa"/>
              <w:left w:w="115" w:type="dxa"/>
              <w:bottom w:w="29" w:type="dxa"/>
              <w:right w:w="115" w:type="dxa"/>
            </w:tcMar>
            <w:vAlign w:val="center"/>
          </w:tcPr>
          <w:p w14:paraId="6E89FA94" w14:textId="77777777" w:rsidR="0038613F" w:rsidRPr="00B31519"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B31519">
              <w:rPr>
                <w:rFonts w:eastAsia="Malgun Gothic"/>
                <w:kern w:val="22"/>
                <w:szCs w:val="22"/>
              </w:rPr>
              <w:t>Q.27</w:t>
            </w:r>
          </w:p>
        </w:tc>
      </w:tr>
      <w:tr w:rsidR="0038613F" w:rsidRPr="00A1040E" w14:paraId="15770B87" w14:textId="77777777"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59DFC942"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Malgun Gothic"/>
                <w:kern w:val="22"/>
                <w:szCs w:val="22"/>
              </w:rPr>
            </w:pPr>
            <w:r w:rsidRPr="00A1040E">
              <w:rPr>
                <w:rFonts w:eastAsia="Malgun Gothic"/>
                <w:kern w:val="22"/>
                <w:szCs w:val="22"/>
              </w:rPr>
              <w:t>30.</w:t>
            </w:r>
            <w:r w:rsidRPr="00A1040E">
              <w:rPr>
                <w:rFonts w:eastAsia="Malgun Gothic"/>
                <w:kern w:val="22"/>
                <w:szCs w:val="22"/>
              </w:rPr>
              <w:tab/>
              <w:t>Number of checkpoint communiques published in the ABS Clearing-House</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7938D253"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(g)</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13E9A2D5" w14:textId="77777777" w:rsidR="0038613F" w:rsidRPr="00A57937" w:rsidRDefault="0038613F">
            <w:pPr>
              <w:suppressLineNumbers/>
              <w:suppressAutoHyphens/>
              <w:kinsoku w:val="0"/>
              <w:overflowPunct w:val="0"/>
              <w:autoSpaceDE w:val="0"/>
              <w:autoSpaceDN w:val="0"/>
              <w:adjustRightInd w:val="0"/>
              <w:snapToGrid w:val="0"/>
              <w:jc w:val="center"/>
              <w:rPr>
                <w:rFonts w:eastAsia="SimSun"/>
                <w:kern w:val="22"/>
                <w:szCs w:val="22"/>
              </w:rPr>
            </w:pPr>
            <w:r w:rsidRPr="00A57937">
              <w:rPr>
                <w:rFonts w:eastAsia="SimSun"/>
                <w:kern w:val="22"/>
                <w:szCs w:val="22"/>
              </w:rPr>
              <w:t>0</w:t>
            </w:r>
          </w:p>
        </w:tc>
        <w:tc>
          <w:tcPr>
            <w:tcW w:w="1321" w:type="dxa"/>
            <w:tcBorders>
              <w:bottom w:val="single" w:sz="4" w:space="0" w:color="auto"/>
            </w:tcBorders>
            <w:shd w:val="clear" w:color="auto" w:fill="auto"/>
            <w:tcMar>
              <w:top w:w="29" w:type="dxa"/>
              <w:left w:w="115" w:type="dxa"/>
              <w:bottom w:w="29" w:type="dxa"/>
              <w:right w:w="115" w:type="dxa"/>
            </w:tcMar>
            <w:vAlign w:val="center"/>
          </w:tcPr>
          <w:p w14:paraId="05186F6B" w14:textId="77777777" w:rsidR="0038613F" w:rsidRPr="00B31519"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B31519">
              <w:rPr>
                <w:rFonts w:eastAsia="Malgun Gothic"/>
                <w:kern w:val="22"/>
                <w:szCs w:val="22"/>
              </w:rPr>
              <w:t>ABS-CH</w:t>
            </w:r>
          </w:p>
        </w:tc>
      </w:tr>
      <w:tr w:rsidR="0038613F" w:rsidRPr="00A1040E" w14:paraId="4F043654" w14:textId="77777777" w:rsidTr="00EA1A55">
        <w:trPr>
          <w:cantSplit/>
          <w:jc w:val="center"/>
        </w:trPr>
        <w:tc>
          <w:tcPr>
            <w:tcW w:w="9483" w:type="dxa"/>
            <w:gridSpan w:val="4"/>
            <w:shd w:val="pct5" w:color="auto" w:fill="auto"/>
            <w:tcMar>
              <w:top w:w="29" w:type="dxa"/>
              <w:left w:w="115" w:type="dxa"/>
              <w:bottom w:w="29" w:type="dxa"/>
              <w:right w:w="115" w:type="dxa"/>
            </w:tcMar>
            <w:vAlign w:val="center"/>
          </w:tcPr>
          <w:p w14:paraId="1302019A" w14:textId="77777777" w:rsidR="0038613F" w:rsidRPr="008964A8" w:rsidRDefault="0038613F">
            <w:pPr>
              <w:keepNext/>
              <w:suppressLineNumbers/>
              <w:suppressAutoHyphens/>
              <w:kinsoku w:val="0"/>
              <w:overflowPunct w:val="0"/>
              <w:autoSpaceDE w:val="0"/>
              <w:autoSpaceDN w:val="0"/>
              <w:adjustRightInd w:val="0"/>
              <w:snapToGrid w:val="0"/>
              <w:ind w:left="317"/>
              <w:jc w:val="left"/>
              <w:rPr>
                <w:rFonts w:eastAsia="Malgun Gothic"/>
                <w:b/>
                <w:kern w:val="22"/>
                <w:szCs w:val="22"/>
              </w:rPr>
            </w:pPr>
            <w:r w:rsidRPr="00A1040E">
              <w:rPr>
                <w:rFonts w:eastAsia="Malgun Gothic"/>
                <w:b/>
                <w:kern w:val="22"/>
                <w:szCs w:val="22"/>
              </w:rPr>
              <w:t xml:space="preserve">Legislative, administrative or policy </w:t>
            </w:r>
            <w:r w:rsidRPr="0052359B">
              <w:rPr>
                <w:rFonts w:eastAsia="Malgun Gothic"/>
                <w:b/>
                <w:kern w:val="22"/>
                <w:szCs w:val="22"/>
              </w:rPr>
              <w:t>measures on ABS: compliance with mutually agreed terms (Article 18)</w:t>
            </w:r>
          </w:p>
        </w:tc>
      </w:tr>
      <w:tr w:rsidR="0038613F" w:rsidRPr="00A1040E" w14:paraId="53D173A1" w14:textId="77777777" w:rsidTr="00EA1A55">
        <w:trPr>
          <w:cantSplit/>
          <w:jc w:val="center"/>
        </w:trPr>
        <w:tc>
          <w:tcPr>
            <w:tcW w:w="5552" w:type="dxa"/>
            <w:shd w:val="clear" w:color="auto" w:fill="auto"/>
            <w:tcMar>
              <w:top w:w="29" w:type="dxa"/>
              <w:left w:w="115" w:type="dxa"/>
              <w:bottom w:w="29" w:type="dxa"/>
              <w:right w:w="115" w:type="dxa"/>
            </w:tcMar>
          </w:tcPr>
          <w:p w14:paraId="6FA515FF" w14:textId="7788CFC3"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31.</w:t>
            </w:r>
            <w:r w:rsidRPr="00A1040E">
              <w:rPr>
                <w:rFonts w:eastAsia="SimSun"/>
                <w:kern w:val="22"/>
                <w:szCs w:val="22"/>
              </w:rPr>
              <w:tab/>
            </w:r>
            <w:r w:rsidRPr="0052359B">
              <w:rPr>
                <w:rFonts w:eastAsia="Malgun Gothic"/>
                <w:kern w:val="22"/>
                <w:szCs w:val="22"/>
              </w:rPr>
              <w:t xml:space="preserve">Number and percentage </w:t>
            </w:r>
            <w:r w:rsidRPr="0052359B">
              <w:rPr>
                <w:rFonts w:eastAsia="SimSun"/>
                <w:kern w:val="22"/>
                <w:szCs w:val="22"/>
              </w:rPr>
              <w:t>of Parties that encourage the inclusion of dispute resolution provisions in mutually agreed terms as provided in Article 18.1</w:t>
            </w:r>
          </w:p>
        </w:tc>
        <w:tc>
          <w:tcPr>
            <w:tcW w:w="1104" w:type="dxa"/>
            <w:shd w:val="clear" w:color="auto" w:fill="auto"/>
            <w:tcMar>
              <w:top w:w="29" w:type="dxa"/>
              <w:left w:w="115" w:type="dxa"/>
              <w:bottom w:w="29" w:type="dxa"/>
              <w:right w:w="115" w:type="dxa"/>
            </w:tcMar>
            <w:vAlign w:val="center"/>
          </w:tcPr>
          <w:p w14:paraId="2B49BD8A"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(d)</w:t>
            </w:r>
          </w:p>
        </w:tc>
        <w:tc>
          <w:tcPr>
            <w:tcW w:w="1506" w:type="dxa"/>
            <w:shd w:val="clear" w:color="auto" w:fill="auto"/>
            <w:tcMar>
              <w:top w:w="29" w:type="dxa"/>
              <w:left w:w="115" w:type="dxa"/>
              <w:bottom w:w="29" w:type="dxa"/>
              <w:right w:w="115" w:type="dxa"/>
            </w:tcMar>
            <w:vAlign w:val="center"/>
          </w:tcPr>
          <w:p w14:paraId="46F9322C"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36 (34%)</w:t>
            </w:r>
          </w:p>
        </w:tc>
        <w:tc>
          <w:tcPr>
            <w:tcW w:w="1321" w:type="dxa"/>
            <w:shd w:val="clear" w:color="auto" w:fill="auto"/>
            <w:tcMar>
              <w:top w:w="29" w:type="dxa"/>
              <w:left w:w="115" w:type="dxa"/>
              <w:bottom w:w="29" w:type="dxa"/>
              <w:right w:w="115" w:type="dxa"/>
            </w:tcMar>
            <w:vAlign w:val="center"/>
          </w:tcPr>
          <w:p w14:paraId="6106900F"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Q.31</w:t>
            </w:r>
          </w:p>
        </w:tc>
      </w:tr>
      <w:tr w:rsidR="0038613F" w:rsidRPr="00A1040E" w14:paraId="20F8D79A" w14:textId="77777777" w:rsidTr="00EA1A55">
        <w:trPr>
          <w:cantSplit/>
          <w:jc w:val="center"/>
        </w:trPr>
        <w:tc>
          <w:tcPr>
            <w:tcW w:w="5552" w:type="dxa"/>
            <w:shd w:val="clear" w:color="auto" w:fill="auto"/>
            <w:tcMar>
              <w:top w:w="29" w:type="dxa"/>
              <w:left w:w="115" w:type="dxa"/>
              <w:bottom w:w="29" w:type="dxa"/>
              <w:right w:w="115" w:type="dxa"/>
            </w:tcMar>
          </w:tcPr>
          <w:p w14:paraId="254DBBB6"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32.</w:t>
            </w:r>
            <w:r w:rsidRPr="00A1040E">
              <w:rPr>
                <w:rFonts w:eastAsia="SimSun"/>
                <w:kern w:val="22"/>
                <w:szCs w:val="22"/>
              </w:rPr>
              <w:tab/>
            </w:r>
            <w:r w:rsidRPr="0052359B">
              <w:rPr>
                <w:rFonts w:eastAsia="Malgun Gothic"/>
                <w:kern w:val="22"/>
                <w:szCs w:val="22"/>
              </w:rPr>
              <w:t xml:space="preserve">Number and percentage </w:t>
            </w:r>
            <w:r w:rsidRPr="0052359B">
              <w:rPr>
                <w:rFonts w:eastAsia="SimSun"/>
                <w:kern w:val="22"/>
                <w:szCs w:val="22"/>
              </w:rPr>
              <w:t>of Parties with opportunity to seek recourse available under their legal systems in cases of disputes arising from mutually agreed terms as provided in Article 18.2</w:t>
            </w:r>
          </w:p>
        </w:tc>
        <w:tc>
          <w:tcPr>
            <w:tcW w:w="1104" w:type="dxa"/>
            <w:shd w:val="clear" w:color="auto" w:fill="auto"/>
            <w:tcMar>
              <w:top w:w="29" w:type="dxa"/>
              <w:left w:w="115" w:type="dxa"/>
              <w:bottom w:w="29" w:type="dxa"/>
              <w:right w:w="115" w:type="dxa"/>
            </w:tcMar>
            <w:vAlign w:val="center"/>
          </w:tcPr>
          <w:p w14:paraId="3226EEE3"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(d)</w:t>
            </w:r>
          </w:p>
        </w:tc>
        <w:tc>
          <w:tcPr>
            <w:tcW w:w="1506" w:type="dxa"/>
            <w:shd w:val="clear" w:color="auto" w:fill="auto"/>
            <w:tcMar>
              <w:top w:w="29" w:type="dxa"/>
              <w:left w:w="115" w:type="dxa"/>
              <w:bottom w:w="29" w:type="dxa"/>
              <w:right w:w="115" w:type="dxa"/>
            </w:tcMar>
            <w:vAlign w:val="center"/>
          </w:tcPr>
          <w:p w14:paraId="1AA75608"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51 (49%)</w:t>
            </w:r>
          </w:p>
        </w:tc>
        <w:tc>
          <w:tcPr>
            <w:tcW w:w="1321" w:type="dxa"/>
            <w:shd w:val="clear" w:color="auto" w:fill="auto"/>
            <w:tcMar>
              <w:top w:w="29" w:type="dxa"/>
              <w:left w:w="115" w:type="dxa"/>
              <w:bottom w:w="29" w:type="dxa"/>
              <w:right w:w="115" w:type="dxa"/>
            </w:tcMar>
            <w:vAlign w:val="center"/>
          </w:tcPr>
          <w:p w14:paraId="209C2309"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Q.32</w:t>
            </w:r>
          </w:p>
        </w:tc>
      </w:tr>
      <w:tr w:rsidR="0038613F" w:rsidRPr="00A1040E" w14:paraId="1016B30A" w14:textId="77777777" w:rsidTr="00EA1A55">
        <w:trPr>
          <w:cantSplit/>
          <w:jc w:val="center"/>
        </w:trPr>
        <w:tc>
          <w:tcPr>
            <w:tcW w:w="5552" w:type="dxa"/>
            <w:shd w:val="clear" w:color="auto" w:fill="auto"/>
            <w:tcMar>
              <w:top w:w="29" w:type="dxa"/>
              <w:left w:w="115" w:type="dxa"/>
              <w:bottom w:w="29" w:type="dxa"/>
              <w:right w:w="115" w:type="dxa"/>
            </w:tcMar>
          </w:tcPr>
          <w:p w14:paraId="057405CB" w14:textId="77777777" w:rsidR="0038613F" w:rsidRPr="00C649EC"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33.</w:t>
            </w:r>
            <w:r w:rsidRPr="00A1040E">
              <w:rPr>
                <w:rFonts w:eastAsia="SimSun"/>
                <w:kern w:val="22"/>
                <w:szCs w:val="22"/>
              </w:rPr>
              <w:tab/>
            </w:r>
            <w:r w:rsidRPr="0052359B">
              <w:rPr>
                <w:rFonts w:eastAsia="Malgun Gothic"/>
                <w:kern w:val="22"/>
                <w:szCs w:val="22"/>
              </w:rPr>
              <w:t xml:space="preserve">Number and percentage </w:t>
            </w:r>
            <w:r w:rsidRPr="0052359B">
              <w:rPr>
                <w:rFonts w:eastAsia="SimSun"/>
                <w:kern w:val="22"/>
                <w:szCs w:val="22"/>
              </w:rPr>
              <w:t>of Parties with measures</w:t>
            </w:r>
            <w:r w:rsidRPr="008964A8">
              <w:rPr>
                <w:rFonts w:eastAsia="SimSun"/>
                <w:kern w:val="22"/>
                <w:szCs w:val="22"/>
              </w:rPr>
              <w:t xml:space="preserve"> regarding </w:t>
            </w:r>
            <w:r w:rsidRPr="00C649EC">
              <w:rPr>
                <w:rFonts w:eastAsia="SimSun"/>
                <w:kern w:val="22"/>
                <w:szCs w:val="22"/>
              </w:rPr>
              <w:t>access to justice</w:t>
            </w:r>
          </w:p>
        </w:tc>
        <w:tc>
          <w:tcPr>
            <w:tcW w:w="1104" w:type="dxa"/>
            <w:shd w:val="clear" w:color="auto" w:fill="auto"/>
            <w:tcMar>
              <w:top w:w="29" w:type="dxa"/>
              <w:left w:w="115" w:type="dxa"/>
              <w:bottom w:w="29" w:type="dxa"/>
              <w:right w:w="115" w:type="dxa"/>
            </w:tcMar>
            <w:vAlign w:val="center"/>
          </w:tcPr>
          <w:p w14:paraId="4F0EDDDD"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(d)</w:t>
            </w:r>
          </w:p>
        </w:tc>
        <w:tc>
          <w:tcPr>
            <w:tcW w:w="1506" w:type="dxa"/>
            <w:shd w:val="clear" w:color="auto" w:fill="auto"/>
            <w:tcMar>
              <w:top w:w="29" w:type="dxa"/>
              <w:left w:w="115" w:type="dxa"/>
              <w:bottom w:w="29" w:type="dxa"/>
              <w:right w:w="115" w:type="dxa"/>
            </w:tcMar>
            <w:vAlign w:val="center"/>
          </w:tcPr>
          <w:p w14:paraId="08624C11" w14:textId="77777777" w:rsidR="0038613F" w:rsidRPr="00B31519" w:rsidRDefault="0038613F">
            <w:pPr>
              <w:suppressLineNumbers/>
              <w:suppressAutoHyphens/>
              <w:kinsoku w:val="0"/>
              <w:overflowPunct w:val="0"/>
              <w:autoSpaceDE w:val="0"/>
              <w:autoSpaceDN w:val="0"/>
              <w:adjustRightInd w:val="0"/>
              <w:snapToGrid w:val="0"/>
              <w:jc w:val="center"/>
              <w:rPr>
                <w:rFonts w:eastAsia="Calibri"/>
                <w:kern w:val="22"/>
                <w:szCs w:val="22"/>
              </w:rPr>
            </w:pPr>
            <w:r w:rsidRPr="00B31519">
              <w:rPr>
                <w:rFonts w:eastAsia="Calibri"/>
                <w:kern w:val="22"/>
                <w:szCs w:val="22"/>
              </w:rPr>
              <w:t>47 (45%)</w:t>
            </w:r>
          </w:p>
        </w:tc>
        <w:tc>
          <w:tcPr>
            <w:tcW w:w="1321" w:type="dxa"/>
            <w:shd w:val="clear" w:color="auto" w:fill="auto"/>
            <w:tcMar>
              <w:top w:w="29" w:type="dxa"/>
              <w:left w:w="115" w:type="dxa"/>
              <w:bottom w:w="29" w:type="dxa"/>
              <w:right w:w="115" w:type="dxa"/>
            </w:tcMar>
            <w:vAlign w:val="center"/>
          </w:tcPr>
          <w:p w14:paraId="3E0CE76A" w14:textId="77777777" w:rsidR="0038613F" w:rsidRPr="00A1040E" w:rsidRDefault="0038613F">
            <w:pPr>
              <w:suppressLineNumbers/>
              <w:suppressAutoHyphens/>
              <w:kinsoku w:val="0"/>
              <w:overflowPunct w:val="0"/>
              <w:autoSpaceDE w:val="0"/>
              <w:autoSpaceDN w:val="0"/>
              <w:adjustRightInd w:val="0"/>
              <w:snapToGrid w:val="0"/>
              <w:jc w:val="left"/>
              <w:rPr>
                <w:rFonts w:eastAsia="SimSun"/>
                <w:kern w:val="22"/>
                <w:szCs w:val="22"/>
              </w:rPr>
            </w:pPr>
            <w:r w:rsidRPr="00A1040E">
              <w:rPr>
                <w:rFonts w:eastAsia="SimSun"/>
                <w:kern w:val="22"/>
                <w:szCs w:val="22"/>
              </w:rPr>
              <w:t>Q.33</w:t>
            </w:r>
          </w:p>
        </w:tc>
      </w:tr>
      <w:tr w:rsidR="0038613F" w:rsidRPr="00A1040E" w14:paraId="5B0903E1" w14:textId="77777777"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51DF3ED4"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34.</w:t>
            </w:r>
            <w:r w:rsidRPr="00A1040E">
              <w:rPr>
                <w:rFonts w:eastAsia="SimSun"/>
                <w:kern w:val="22"/>
                <w:szCs w:val="22"/>
              </w:rPr>
              <w:tab/>
            </w:r>
            <w:r w:rsidRPr="0052359B">
              <w:rPr>
                <w:rFonts w:eastAsia="Malgun Gothic"/>
                <w:kern w:val="22"/>
                <w:szCs w:val="22"/>
              </w:rPr>
              <w:t xml:space="preserve">Number and percentage </w:t>
            </w:r>
            <w:r w:rsidRPr="0052359B">
              <w:rPr>
                <w:rFonts w:eastAsia="SimSun"/>
                <w:kern w:val="22"/>
                <w:szCs w:val="22"/>
              </w:rPr>
              <w:t>of Parties with measures regarding utilization of mechanisms regarding mutual recognition and enforcement of foreign judgements and arbitral awards</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7C7A2DB1"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(d)</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7637E7F8"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38 (36%)</w:t>
            </w:r>
          </w:p>
        </w:tc>
        <w:tc>
          <w:tcPr>
            <w:tcW w:w="1321" w:type="dxa"/>
            <w:tcBorders>
              <w:bottom w:val="single" w:sz="4" w:space="0" w:color="auto"/>
            </w:tcBorders>
            <w:shd w:val="clear" w:color="auto" w:fill="auto"/>
            <w:tcMar>
              <w:top w:w="29" w:type="dxa"/>
              <w:left w:w="115" w:type="dxa"/>
              <w:bottom w:w="29" w:type="dxa"/>
              <w:right w:w="115" w:type="dxa"/>
            </w:tcMar>
            <w:vAlign w:val="center"/>
          </w:tcPr>
          <w:p w14:paraId="59CAFAEC"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Q.33</w:t>
            </w:r>
          </w:p>
        </w:tc>
      </w:tr>
      <w:tr w:rsidR="0038613F" w:rsidRPr="00A1040E" w14:paraId="42C4289A" w14:textId="77777777" w:rsidTr="00EA1A55">
        <w:trPr>
          <w:cantSplit/>
          <w:jc w:val="center"/>
        </w:trPr>
        <w:tc>
          <w:tcPr>
            <w:tcW w:w="9483" w:type="dxa"/>
            <w:gridSpan w:val="4"/>
            <w:shd w:val="pct5" w:color="auto" w:fill="auto"/>
            <w:tcMar>
              <w:top w:w="29" w:type="dxa"/>
              <w:left w:w="115" w:type="dxa"/>
              <w:bottom w:w="29" w:type="dxa"/>
              <w:right w:w="115" w:type="dxa"/>
            </w:tcMar>
            <w:vAlign w:val="center"/>
          </w:tcPr>
          <w:p w14:paraId="03E6A7E8" w14:textId="77777777" w:rsidR="0038613F" w:rsidRPr="0052359B" w:rsidRDefault="0038613F">
            <w:pPr>
              <w:keepNext/>
              <w:suppressLineNumbers/>
              <w:suppressAutoHyphens/>
              <w:kinsoku w:val="0"/>
              <w:overflowPunct w:val="0"/>
              <w:autoSpaceDE w:val="0"/>
              <w:autoSpaceDN w:val="0"/>
              <w:adjustRightInd w:val="0"/>
              <w:snapToGrid w:val="0"/>
              <w:ind w:left="317"/>
              <w:jc w:val="left"/>
              <w:rPr>
                <w:rFonts w:eastAsia="SimSun"/>
                <w:b/>
                <w:kern w:val="22"/>
                <w:szCs w:val="22"/>
              </w:rPr>
            </w:pPr>
            <w:r w:rsidRPr="00A1040E">
              <w:rPr>
                <w:rFonts w:eastAsia="SimSun"/>
                <w:b/>
                <w:kern w:val="22"/>
                <w:szCs w:val="22"/>
              </w:rPr>
              <w:t xml:space="preserve">Special </w:t>
            </w:r>
            <w:r w:rsidRPr="0052359B">
              <w:rPr>
                <w:rFonts w:eastAsia="SimSun"/>
                <w:b/>
                <w:kern w:val="22"/>
                <w:szCs w:val="22"/>
              </w:rPr>
              <w:t>considerations (Article 8)</w:t>
            </w:r>
          </w:p>
        </w:tc>
      </w:tr>
      <w:tr w:rsidR="0038613F" w:rsidRPr="00A1040E" w14:paraId="15C16734" w14:textId="77777777" w:rsidTr="00EA1A55">
        <w:trPr>
          <w:cantSplit/>
          <w:jc w:val="center"/>
        </w:trPr>
        <w:tc>
          <w:tcPr>
            <w:tcW w:w="5552" w:type="dxa"/>
            <w:shd w:val="clear" w:color="auto" w:fill="auto"/>
            <w:tcMar>
              <w:top w:w="29" w:type="dxa"/>
              <w:left w:w="115" w:type="dxa"/>
              <w:bottom w:w="29" w:type="dxa"/>
              <w:right w:w="115" w:type="dxa"/>
            </w:tcMar>
          </w:tcPr>
          <w:p w14:paraId="7A56740F"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35.</w:t>
            </w:r>
            <w:r w:rsidRPr="00A1040E">
              <w:rPr>
                <w:rFonts w:eastAsia="SimSun"/>
                <w:kern w:val="22"/>
                <w:szCs w:val="22"/>
              </w:rPr>
              <w:tab/>
            </w:r>
            <w:r w:rsidRPr="0052359B">
              <w:rPr>
                <w:rFonts w:eastAsia="Malgun Gothic"/>
                <w:kern w:val="22"/>
                <w:szCs w:val="22"/>
              </w:rPr>
              <w:t xml:space="preserve">Number and percentage </w:t>
            </w:r>
            <w:r w:rsidRPr="0052359B">
              <w:rPr>
                <w:rFonts w:eastAsia="SimSun"/>
                <w:kern w:val="22"/>
                <w:szCs w:val="22"/>
              </w:rPr>
              <w:t>of Parties that created conditions to promote and encourage research which contributes to the conservation and sustainable use of biodiversity as provided in Article 8(a)</w:t>
            </w:r>
          </w:p>
        </w:tc>
        <w:tc>
          <w:tcPr>
            <w:tcW w:w="1104" w:type="dxa"/>
            <w:shd w:val="clear" w:color="auto" w:fill="auto"/>
            <w:tcMar>
              <w:top w:w="29" w:type="dxa"/>
              <w:left w:w="115" w:type="dxa"/>
              <w:bottom w:w="29" w:type="dxa"/>
              <w:right w:w="115" w:type="dxa"/>
            </w:tcMar>
            <w:vAlign w:val="center"/>
          </w:tcPr>
          <w:p w14:paraId="61AF54AA"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(b)</w:t>
            </w:r>
          </w:p>
        </w:tc>
        <w:tc>
          <w:tcPr>
            <w:tcW w:w="1506" w:type="dxa"/>
            <w:shd w:val="clear" w:color="auto" w:fill="auto"/>
            <w:tcMar>
              <w:top w:w="29" w:type="dxa"/>
              <w:left w:w="115" w:type="dxa"/>
              <w:bottom w:w="29" w:type="dxa"/>
              <w:right w:w="115" w:type="dxa"/>
            </w:tcMar>
            <w:vAlign w:val="center"/>
          </w:tcPr>
          <w:p w14:paraId="1E4FE948"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48 (46%)</w:t>
            </w:r>
          </w:p>
        </w:tc>
        <w:tc>
          <w:tcPr>
            <w:tcW w:w="1321" w:type="dxa"/>
            <w:shd w:val="clear" w:color="auto" w:fill="auto"/>
            <w:tcMar>
              <w:top w:w="29" w:type="dxa"/>
              <w:left w:w="115" w:type="dxa"/>
              <w:bottom w:w="29" w:type="dxa"/>
              <w:right w:w="115" w:type="dxa"/>
            </w:tcMar>
            <w:vAlign w:val="center"/>
          </w:tcPr>
          <w:p w14:paraId="7AB53BBB"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Q.35</w:t>
            </w:r>
          </w:p>
        </w:tc>
      </w:tr>
      <w:tr w:rsidR="0038613F" w:rsidRPr="00A1040E" w14:paraId="0099552F" w14:textId="77777777" w:rsidTr="00EA1A55">
        <w:trPr>
          <w:cantSplit/>
          <w:jc w:val="center"/>
        </w:trPr>
        <w:tc>
          <w:tcPr>
            <w:tcW w:w="5552" w:type="dxa"/>
            <w:shd w:val="clear" w:color="auto" w:fill="auto"/>
            <w:tcMar>
              <w:top w:w="29" w:type="dxa"/>
              <w:left w:w="115" w:type="dxa"/>
              <w:bottom w:w="29" w:type="dxa"/>
              <w:right w:w="115" w:type="dxa"/>
            </w:tcMar>
          </w:tcPr>
          <w:p w14:paraId="37A0E984"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Malgun Gothic"/>
                <w:kern w:val="22"/>
                <w:szCs w:val="22"/>
              </w:rPr>
            </w:pPr>
            <w:r w:rsidRPr="00A1040E">
              <w:rPr>
                <w:rFonts w:eastAsia="Malgun Gothic"/>
                <w:kern w:val="22"/>
                <w:szCs w:val="22"/>
              </w:rPr>
              <w:t>36.</w:t>
            </w:r>
            <w:r w:rsidRPr="00A1040E">
              <w:rPr>
                <w:rFonts w:eastAsia="Malgun Gothic"/>
                <w:kern w:val="22"/>
                <w:szCs w:val="22"/>
              </w:rPr>
              <w:tab/>
            </w:r>
            <w:r w:rsidRPr="0052359B">
              <w:rPr>
                <w:rFonts w:eastAsia="Malgun Gothic"/>
                <w:kern w:val="22"/>
                <w:szCs w:val="22"/>
              </w:rPr>
              <w:t>Number and percentage of Parties that paid due regard to cases of present or imminent emergencies that threaten or damage human, animal or plant health as provided in Article 8(b)</w:t>
            </w:r>
          </w:p>
        </w:tc>
        <w:tc>
          <w:tcPr>
            <w:tcW w:w="1104" w:type="dxa"/>
            <w:shd w:val="clear" w:color="auto" w:fill="auto"/>
            <w:tcMar>
              <w:top w:w="29" w:type="dxa"/>
              <w:left w:w="115" w:type="dxa"/>
              <w:bottom w:w="29" w:type="dxa"/>
              <w:right w:w="115" w:type="dxa"/>
            </w:tcMar>
            <w:vAlign w:val="center"/>
          </w:tcPr>
          <w:p w14:paraId="332B4C90"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(b)</w:t>
            </w:r>
          </w:p>
        </w:tc>
        <w:tc>
          <w:tcPr>
            <w:tcW w:w="1506" w:type="dxa"/>
            <w:shd w:val="clear" w:color="auto" w:fill="auto"/>
            <w:tcMar>
              <w:top w:w="29" w:type="dxa"/>
              <w:left w:w="115" w:type="dxa"/>
              <w:bottom w:w="29" w:type="dxa"/>
              <w:right w:w="115" w:type="dxa"/>
            </w:tcMar>
            <w:vAlign w:val="center"/>
          </w:tcPr>
          <w:p w14:paraId="1F250176" w14:textId="77777777" w:rsidR="0038613F" w:rsidRPr="00A57937" w:rsidRDefault="0038613F">
            <w:pPr>
              <w:suppressLineNumbers/>
              <w:suppressAutoHyphens/>
              <w:kinsoku w:val="0"/>
              <w:overflowPunct w:val="0"/>
              <w:autoSpaceDE w:val="0"/>
              <w:autoSpaceDN w:val="0"/>
              <w:adjustRightInd w:val="0"/>
              <w:snapToGrid w:val="0"/>
              <w:jc w:val="center"/>
              <w:rPr>
                <w:rFonts w:eastAsia="SimSun"/>
                <w:kern w:val="22"/>
                <w:szCs w:val="22"/>
              </w:rPr>
            </w:pPr>
            <w:r w:rsidRPr="00A57937">
              <w:rPr>
                <w:rFonts w:eastAsia="SimSun"/>
                <w:kern w:val="22"/>
                <w:szCs w:val="22"/>
              </w:rPr>
              <w:t>39 (37%)</w:t>
            </w:r>
          </w:p>
        </w:tc>
        <w:tc>
          <w:tcPr>
            <w:tcW w:w="1321" w:type="dxa"/>
            <w:shd w:val="clear" w:color="auto" w:fill="auto"/>
            <w:tcMar>
              <w:top w:w="29" w:type="dxa"/>
              <w:left w:w="115" w:type="dxa"/>
              <w:bottom w:w="29" w:type="dxa"/>
              <w:right w:w="115" w:type="dxa"/>
            </w:tcMar>
            <w:vAlign w:val="center"/>
          </w:tcPr>
          <w:p w14:paraId="69B5DAD7" w14:textId="77777777" w:rsidR="0038613F" w:rsidRPr="00B31519"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B31519">
              <w:rPr>
                <w:rFonts w:eastAsia="SimSun"/>
                <w:kern w:val="22"/>
                <w:szCs w:val="22"/>
              </w:rPr>
              <w:t>Q.35</w:t>
            </w:r>
          </w:p>
        </w:tc>
      </w:tr>
      <w:tr w:rsidR="0038613F" w:rsidRPr="00A1040E" w14:paraId="44BB9EAD" w14:textId="77777777" w:rsidTr="00EA1A55">
        <w:trPr>
          <w:cantSplit/>
          <w:jc w:val="center"/>
        </w:trPr>
        <w:tc>
          <w:tcPr>
            <w:tcW w:w="5552" w:type="dxa"/>
            <w:shd w:val="clear" w:color="auto" w:fill="auto"/>
            <w:tcMar>
              <w:top w:w="29" w:type="dxa"/>
              <w:left w:w="115" w:type="dxa"/>
              <w:bottom w:w="29" w:type="dxa"/>
              <w:right w:w="115" w:type="dxa"/>
            </w:tcMar>
          </w:tcPr>
          <w:p w14:paraId="15658ED8"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Malgun Gothic"/>
                <w:kern w:val="22"/>
                <w:szCs w:val="22"/>
              </w:rPr>
            </w:pPr>
            <w:r w:rsidRPr="00A1040E">
              <w:rPr>
                <w:rFonts w:eastAsia="Malgun Gothic"/>
                <w:kern w:val="22"/>
                <w:szCs w:val="22"/>
              </w:rPr>
              <w:t>37.</w:t>
            </w:r>
            <w:r w:rsidRPr="00A1040E">
              <w:rPr>
                <w:rFonts w:eastAsia="Malgun Gothic"/>
                <w:kern w:val="22"/>
                <w:szCs w:val="22"/>
              </w:rPr>
              <w:tab/>
              <w:t>Number and percentage of Parties that have taken into</w:t>
            </w:r>
            <w:r w:rsidRPr="0052359B">
              <w:rPr>
                <w:rFonts w:eastAsia="Malgun Gothic"/>
                <w:kern w:val="22"/>
                <w:szCs w:val="22"/>
              </w:rPr>
              <w:t xml:space="preserve"> consideration the need for expeditious access to genetic resources and expeditious fair and equitable sharing of benefits arising out of the use of such genetic resources as provided in Article 8(b)</w:t>
            </w:r>
          </w:p>
        </w:tc>
        <w:tc>
          <w:tcPr>
            <w:tcW w:w="1104" w:type="dxa"/>
            <w:shd w:val="clear" w:color="auto" w:fill="auto"/>
            <w:tcMar>
              <w:top w:w="29" w:type="dxa"/>
              <w:left w:w="115" w:type="dxa"/>
              <w:bottom w:w="29" w:type="dxa"/>
              <w:right w:w="115" w:type="dxa"/>
            </w:tcMar>
            <w:vAlign w:val="center"/>
          </w:tcPr>
          <w:p w14:paraId="7425B2BC"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(b)</w:t>
            </w:r>
          </w:p>
        </w:tc>
        <w:tc>
          <w:tcPr>
            <w:tcW w:w="1506" w:type="dxa"/>
            <w:shd w:val="clear" w:color="auto" w:fill="auto"/>
            <w:tcMar>
              <w:top w:w="29" w:type="dxa"/>
              <w:left w:w="115" w:type="dxa"/>
              <w:bottom w:w="29" w:type="dxa"/>
              <w:right w:w="115" w:type="dxa"/>
            </w:tcMar>
            <w:vAlign w:val="center"/>
          </w:tcPr>
          <w:p w14:paraId="6546B976" w14:textId="77777777" w:rsidR="0038613F" w:rsidRPr="00A57937" w:rsidRDefault="0038613F">
            <w:pPr>
              <w:suppressLineNumbers/>
              <w:suppressAutoHyphens/>
              <w:kinsoku w:val="0"/>
              <w:overflowPunct w:val="0"/>
              <w:autoSpaceDE w:val="0"/>
              <w:autoSpaceDN w:val="0"/>
              <w:adjustRightInd w:val="0"/>
              <w:snapToGrid w:val="0"/>
              <w:jc w:val="center"/>
              <w:rPr>
                <w:rFonts w:eastAsia="SimSun"/>
                <w:kern w:val="22"/>
                <w:szCs w:val="22"/>
              </w:rPr>
            </w:pPr>
            <w:r w:rsidRPr="00A57937">
              <w:rPr>
                <w:rFonts w:eastAsia="SimSun"/>
                <w:kern w:val="22"/>
                <w:szCs w:val="22"/>
              </w:rPr>
              <w:t>26 (25%)</w:t>
            </w:r>
          </w:p>
        </w:tc>
        <w:tc>
          <w:tcPr>
            <w:tcW w:w="1321" w:type="dxa"/>
            <w:shd w:val="clear" w:color="auto" w:fill="auto"/>
            <w:tcMar>
              <w:top w:w="29" w:type="dxa"/>
              <w:left w:w="115" w:type="dxa"/>
              <w:bottom w:w="29" w:type="dxa"/>
              <w:right w:w="115" w:type="dxa"/>
            </w:tcMar>
            <w:vAlign w:val="center"/>
          </w:tcPr>
          <w:p w14:paraId="6545E052" w14:textId="77777777" w:rsidR="0038613F" w:rsidRPr="00B31519" w:rsidRDefault="0038613F">
            <w:pPr>
              <w:suppressLineNumbers/>
              <w:suppressAutoHyphens/>
              <w:kinsoku w:val="0"/>
              <w:overflowPunct w:val="0"/>
              <w:autoSpaceDE w:val="0"/>
              <w:autoSpaceDN w:val="0"/>
              <w:adjustRightInd w:val="0"/>
              <w:snapToGrid w:val="0"/>
              <w:jc w:val="left"/>
              <w:rPr>
                <w:rFonts w:eastAsia="Malgun Gothic"/>
                <w:kern w:val="22"/>
                <w:szCs w:val="22"/>
              </w:rPr>
            </w:pPr>
            <w:r w:rsidRPr="00B31519">
              <w:rPr>
                <w:rFonts w:eastAsia="SimSun"/>
                <w:kern w:val="22"/>
                <w:szCs w:val="22"/>
              </w:rPr>
              <w:t>Q.35</w:t>
            </w:r>
          </w:p>
        </w:tc>
      </w:tr>
      <w:tr w:rsidR="0038613F" w:rsidRPr="00A1040E" w14:paraId="00CE3A11" w14:textId="77777777"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6CC33A79" w14:textId="4AF78C80" w:rsidR="0038613F" w:rsidRPr="00C649EC"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38.</w:t>
            </w:r>
            <w:r w:rsidRPr="00A1040E">
              <w:rPr>
                <w:rFonts w:eastAsia="SimSun"/>
                <w:kern w:val="22"/>
                <w:szCs w:val="22"/>
              </w:rPr>
              <w:tab/>
            </w:r>
            <w:r w:rsidRPr="0052359B">
              <w:rPr>
                <w:rFonts w:eastAsia="Malgun Gothic"/>
                <w:kern w:val="22"/>
                <w:szCs w:val="22"/>
              </w:rPr>
              <w:t xml:space="preserve">Number and percentage </w:t>
            </w:r>
            <w:r w:rsidRPr="0052359B">
              <w:rPr>
                <w:rFonts w:eastAsia="SimSun"/>
                <w:kern w:val="22"/>
                <w:szCs w:val="22"/>
              </w:rPr>
              <w:t xml:space="preserve">of Parties </w:t>
            </w:r>
            <w:r w:rsidRPr="008964A8">
              <w:rPr>
                <w:rFonts w:eastAsia="SimSun"/>
                <w:kern w:val="22"/>
                <w:szCs w:val="22"/>
              </w:rPr>
              <w:t>that have taken into consi</w:t>
            </w:r>
            <w:r w:rsidRPr="00C649EC">
              <w:rPr>
                <w:rFonts w:eastAsia="SimSun"/>
                <w:kern w:val="22"/>
                <w:szCs w:val="22"/>
              </w:rPr>
              <w:t>deration the importance of genetic resources for food and agriculture and their special role for food security as provided in Article 8(c)</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18A715D1"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(b)</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5CFCAF17" w14:textId="77777777" w:rsidR="0038613F" w:rsidRPr="00B31519" w:rsidRDefault="0038613F">
            <w:pPr>
              <w:suppressLineNumbers/>
              <w:suppressAutoHyphens/>
              <w:kinsoku w:val="0"/>
              <w:overflowPunct w:val="0"/>
              <w:autoSpaceDE w:val="0"/>
              <w:autoSpaceDN w:val="0"/>
              <w:adjustRightInd w:val="0"/>
              <w:snapToGrid w:val="0"/>
              <w:jc w:val="center"/>
              <w:rPr>
                <w:rFonts w:eastAsia="SimSun"/>
                <w:kern w:val="22"/>
                <w:szCs w:val="22"/>
              </w:rPr>
            </w:pPr>
            <w:r w:rsidRPr="00B31519">
              <w:rPr>
                <w:rFonts w:eastAsia="SimSun"/>
                <w:kern w:val="22"/>
                <w:szCs w:val="22"/>
              </w:rPr>
              <w:t>48 (46%)</w:t>
            </w:r>
          </w:p>
        </w:tc>
        <w:tc>
          <w:tcPr>
            <w:tcW w:w="1321" w:type="dxa"/>
            <w:tcBorders>
              <w:bottom w:val="single" w:sz="4" w:space="0" w:color="auto"/>
            </w:tcBorders>
            <w:shd w:val="clear" w:color="auto" w:fill="auto"/>
            <w:tcMar>
              <w:top w:w="29" w:type="dxa"/>
              <w:left w:w="115" w:type="dxa"/>
              <w:bottom w:w="29" w:type="dxa"/>
              <w:right w:w="115" w:type="dxa"/>
            </w:tcMar>
            <w:vAlign w:val="center"/>
          </w:tcPr>
          <w:p w14:paraId="64D60016" w14:textId="77777777" w:rsidR="0038613F" w:rsidRPr="00A1040E" w:rsidRDefault="0038613F">
            <w:pPr>
              <w:suppressLineNumbers/>
              <w:suppressAutoHyphens/>
              <w:kinsoku w:val="0"/>
              <w:overflowPunct w:val="0"/>
              <w:autoSpaceDE w:val="0"/>
              <w:autoSpaceDN w:val="0"/>
              <w:adjustRightInd w:val="0"/>
              <w:snapToGrid w:val="0"/>
              <w:jc w:val="left"/>
              <w:rPr>
                <w:rFonts w:eastAsia="SimSun"/>
                <w:kern w:val="22"/>
                <w:szCs w:val="22"/>
              </w:rPr>
            </w:pPr>
            <w:r w:rsidRPr="00A1040E">
              <w:rPr>
                <w:rFonts w:eastAsia="SimSun"/>
                <w:kern w:val="22"/>
                <w:szCs w:val="22"/>
              </w:rPr>
              <w:t>Q.35</w:t>
            </w:r>
          </w:p>
        </w:tc>
      </w:tr>
      <w:tr w:rsidR="0038613F" w:rsidRPr="00A1040E" w14:paraId="5ACD3097" w14:textId="77777777" w:rsidTr="00EA1A55">
        <w:trPr>
          <w:cantSplit/>
          <w:jc w:val="center"/>
        </w:trPr>
        <w:tc>
          <w:tcPr>
            <w:tcW w:w="9483" w:type="dxa"/>
            <w:gridSpan w:val="4"/>
            <w:shd w:val="pct5" w:color="auto" w:fill="auto"/>
            <w:tcMar>
              <w:top w:w="29" w:type="dxa"/>
              <w:left w:w="115" w:type="dxa"/>
              <w:bottom w:w="29" w:type="dxa"/>
              <w:right w:w="115" w:type="dxa"/>
            </w:tcMar>
            <w:vAlign w:val="center"/>
          </w:tcPr>
          <w:p w14:paraId="02964B23" w14:textId="77777777" w:rsidR="0038613F" w:rsidRPr="0052359B" w:rsidRDefault="0038613F">
            <w:pPr>
              <w:keepNext/>
              <w:suppressLineNumbers/>
              <w:suppressAutoHyphens/>
              <w:kinsoku w:val="0"/>
              <w:overflowPunct w:val="0"/>
              <w:autoSpaceDE w:val="0"/>
              <w:autoSpaceDN w:val="0"/>
              <w:adjustRightInd w:val="0"/>
              <w:snapToGrid w:val="0"/>
              <w:ind w:left="317"/>
              <w:jc w:val="left"/>
              <w:rPr>
                <w:rFonts w:eastAsia="SimSun"/>
                <w:b/>
                <w:kern w:val="22"/>
                <w:szCs w:val="22"/>
              </w:rPr>
            </w:pPr>
            <w:r w:rsidRPr="00A1040E">
              <w:rPr>
                <w:rFonts w:eastAsia="SimSun"/>
                <w:b/>
                <w:kern w:val="22"/>
                <w:szCs w:val="22"/>
              </w:rPr>
              <w:t xml:space="preserve">Provisions related to indigenous peoples and local communities (Article </w:t>
            </w:r>
            <w:r w:rsidRPr="0052359B">
              <w:rPr>
                <w:rFonts w:eastAsia="SimSun"/>
                <w:b/>
                <w:kern w:val="22"/>
                <w:szCs w:val="22"/>
              </w:rPr>
              <w:t>6,7 and 12)</w:t>
            </w:r>
          </w:p>
        </w:tc>
      </w:tr>
      <w:tr w:rsidR="0038613F" w:rsidRPr="00A1040E" w14:paraId="0121811D" w14:textId="77777777" w:rsidTr="00EA1A55">
        <w:trPr>
          <w:cantSplit/>
          <w:jc w:val="center"/>
        </w:trPr>
        <w:tc>
          <w:tcPr>
            <w:tcW w:w="5552" w:type="dxa"/>
            <w:shd w:val="clear" w:color="auto" w:fill="auto"/>
            <w:tcMar>
              <w:top w:w="29" w:type="dxa"/>
              <w:left w:w="115" w:type="dxa"/>
              <w:bottom w:w="29" w:type="dxa"/>
              <w:right w:w="115" w:type="dxa"/>
            </w:tcMar>
          </w:tcPr>
          <w:p w14:paraId="0CCE0303" w14:textId="77777777" w:rsidR="0038613F" w:rsidRPr="000346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0346A8">
              <w:rPr>
                <w:rFonts w:eastAsia="SimSun"/>
                <w:kern w:val="22"/>
                <w:szCs w:val="22"/>
              </w:rPr>
              <w:t>39.</w:t>
            </w:r>
            <w:r w:rsidRPr="000346A8">
              <w:rPr>
                <w:rFonts w:eastAsia="SimSun"/>
                <w:kern w:val="22"/>
                <w:szCs w:val="22"/>
              </w:rPr>
              <w:tab/>
            </w:r>
            <w:r w:rsidRPr="000346A8">
              <w:rPr>
                <w:rFonts w:eastAsia="Malgun Gothic"/>
                <w:kern w:val="22"/>
                <w:szCs w:val="22"/>
              </w:rPr>
              <w:t xml:space="preserve">Number and percentage </w:t>
            </w:r>
            <w:r w:rsidRPr="000346A8">
              <w:rPr>
                <w:rFonts w:eastAsia="SimSun"/>
                <w:kern w:val="22"/>
                <w:szCs w:val="22"/>
              </w:rPr>
              <w:t>of Parties where indigenous peoples and local communities have the established rights to grant access to genetic resources with measures in place with the aim of ensuring the prior informed consent or approval and involvement of indigenous peoples and local communities as provided in Article 6.2</w:t>
            </w:r>
          </w:p>
        </w:tc>
        <w:tc>
          <w:tcPr>
            <w:tcW w:w="1104" w:type="dxa"/>
            <w:shd w:val="clear" w:color="auto" w:fill="auto"/>
            <w:tcMar>
              <w:top w:w="29" w:type="dxa"/>
              <w:left w:w="115" w:type="dxa"/>
              <w:bottom w:w="29" w:type="dxa"/>
              <w:right w:w="115" w:type="dxa"/>
            </w:tcMar>
            <w:vAlign w:val="center"/>
          </w:tcPr>
          <w:p w14:paraId="56562F67" w14:textId="77777777" w:rsidR="0038613F" w:rsidRPr="0052359B" w:rsidRDefault="0038613F">
            <w:pPr>
              <w:suppressLineNumbers/>
              <w:suppressAutoHyphens/>
              <w:kinsoku w:val="0"/>
              <w:overflowPunct w:val="0"/>
              <w:autoSpaceDE w:val="0"/>
              <w:autoSpaceDN w:val="0"/>
              <w:adjustRightInd w:val="0"/>
              <w:snapToGrid w:val="0"/>
              <w:jc w:val="center"/>
              <w:rPr>
                <w:rFonts w:eastAsia="Calibri"/>
                <w:kern w:val="22"/>
                <w:szCs w:val="22"/>
              </w:rPr>
            </w:pPr>
            <w:r w:rsidRPr="00A1040E">
              <w:rPr>
                <w:rFonts w:eastAsia="Calibri"/>
                <w:kern w:val="22"/>
                <w:szCs w:val="22"/>
              </w:rPr>
              <w:t>(a)</w:t>
            </w:r>
          </w:p>
        </w:tc>
        <w:tc>
          <w:tcPr>
            <w:tcW w:w="1506" w:type="dxa"/>
            <w:shd w:val="clear" w:color="auto" w:fill="auto"/>
            <w:tcMar>
              <w:top w:w="29" w:type="dxa"/>
              <w:left w:w="115" w:type="dxa"/>
              <w:bottom w:w="29" w:type="dxa"/>
              <w:right w:w="115" w:type="dxa"/>
            </w:tcMar>
            <w:vAlign w:val="center"/>
          </w:tcPr>
          <w:p w14:paraId="43656DCA" w14:textId="77777777" w:rsidR="0038613F" w:rsidRPr="008964A8" w:rsidRDefault="0038613F">
            <w:pPr>
              <w:suppressLineNumbers/>
              <w:suppressAutoHyphens/>
              <w:kinsoku w:val="0"/>
              <w:overflowPunct w:val="0"/>
              <w:autoSpaceDE w:val="0"/>
              <w:autoSpaceDN w:val="0"/>
              <w:adjustRightInd w:val="0"/>
              <w:snapToGrid w:val="0"/>
              <w:jc w:val="center"/>
              <w:rPr>
                <w:rFonts w:eastAsia="SimSun"/>
                <w:kern w:val="22"/>
                <w:szCs w:val="22"/>
              </w:rPr>
            </w:pPr>
            <w:r w:rsidRPr="008964A8">
              <w:rPr>
                <w:rFonts w:eastAsia="SimSun"/>
                <w:kern w:val="22"/>
                <w:szCs w:val="22"/>
              </w:rPr>
              <w:t>23 (47%)</w:t>
            </w:r>
          </w:p>
        </w:tc>
        <w:tc>
          <w:tcPr>
            <w:tcW w:w="1321" w:type="dxa"/>
            <w:shd w:val="clear" w:color="auto" w:fill="auto"/>
            <w:tcMar>
              <w:top w:w="29" w:type="dxa"/>
              <w:left w:w="115" w:type="dxa"/>
              <w:bottom w:w="29" w:type="dxa"/>
              <w:right w:w="115" w:type="dxa"/>
            </w:tcMar>
            <w:vAlign w:val="center"/>
          </w:tcPr>
          <w:p w14:paraId="2531C363" w14:textId="77777777" w:rsidR="0038613F" w:rsidRPr="00C649EC" w:rsidRDefault="0038613F">
            <w:pPr>
              <w:suppressLineNumbers/>
              <w:suppressAutoHyphens/>
              <w:kinsoku w:val="0"/>
              <w:overflowPunct w:val="0"/>
              <w:autoSpaceDE w:val="0"/>
              <w:autoSpaceDN w:val="0"/>
              <w:adjustRightInd w:val="0"/>
              <w:snapToGrid w:val="0"/>
              <w:jc w:val="left"/>
              <w:rPr>
                <w:rFonts w:eastAsia="SimSun"/>
                <w:kern w:val="22"/>
                <w:szCs w:val="22"/>
              </w:rPr>
            </w:pPr>
            <w:r w:rsidRPr="00C649EC">
              <w:rPr>
                <w:rFonts w:eastAsia="SimSun"/>
                <w:kern w:val="22"/>
                <w:szCs w:val="22"/>
              </w:rPr>
              <w:t>Q.38</w:t>
            </w:r>
          </w:p>
        </w:tc>
      </w:tr>
      <w:tr w:rsidR="0038613F" w:rsidRPr="00A1040E" w14:paraId="3CAF49E1" w14:textId="77777777"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7D62E855" w14:textId="77777777" w:rsidR="0038613F" w:rsidRPr="00A57937"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40.</w:t>
            </w:r>
            <w:r w:rsidRPr="00A1040E">
              <w:rPr>
                <w:rFonts w:eastAsia="SimSun"/>
                <w:kern w:val="22"/>
                <w:szCs w:val="22"/>
              </w:rPr>
              <w:tab/>
            </w:r>
            <w:r w:rsidRPr="0052359B">
              <w:rPr>
                <w:rFonts w:eastAsia="Malgun Gothic"/>
                <w:kern w:val="22"/>
                <w:szCs w:val="22"/>
              </w:rPr>
              <w:t xml:space="preserve">Number and percentage </w:t>
            </w:r>
            <w:r w:rsidRPr="0052359B">
              <w:rPr>
                <w:rFonts w:eastAsia="SimSun"/>
                <w:kern w:val="22"/>
                <w:szCs w:val="22"/>
              </w:rPr>
              <w:t>of Parties with indigenous peoples and local communities in their country that have taken measures with the aim of ensuring that</w:t>
            </w:r>
            <w:r w:rsidRPr="008964A8">
              <w:rPr>
                <w:rFonts w:eastAsia="SimSun"/>
                <w:kern w:val="22"/>
                <w:szCs w:val="22"/>
              </w:rPr>
              <w:t xml:space="preserve"> traditional knowledge associ</w:t>
            </w:r>
            <w:r w:rsidRPr="00C649EC">
              <w:rPr>
                <w:rFonts w:eastAsia="SimSun"/>
                <w:kern w:val="22"/>
                <w:szCs w:val="22"/>
              </w:rPr>
              <w:t>ated with genetic resources that is held by indigenous peoples and local communities have been accessed with the prior informed consent or approval and involvement of these indigenous peoples and local communities and that mutually agreed terms have been e</w:t>
            </w:r>
            <w:r w:rsidRPr="00A57937">
              <w:rPr>
                <w:rFonts w:eastAsia="SimSun"/>
                <w:kern w:val="22"/>
                <w:szCs w:val="22"/>
              </w:rPr>
              <w:t>stablished as provided in Article 7</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56780AED" w14:textId="77777777" w:rsidR="0038613F" w:rsidRPr="00B31519" w:rsidRDefault="0038613F">
            <w:pPr>
              <w:suppressLineNumbers/>
              <w:suppressAutoHyphens/>
              <w:kinsoku w:val="0"/>
              <w:overflowPunct w:val="0"/>
              <w:autoSpaceDE w:val="0"/>
              <w:autoSpaceDN w:val="0"/>
              <w:adjustRightInd w:val="0"/>
              <w:snapToGrid w:val="0"/>
              <w:jc w:val="center"/>
              <w:rPr>
                <w:rFonts w:eastAsia="Calibri"/>
                <w:kern w:val="22"/>
                <w:szCs w:val="22"/>
              </w:rPr>
            </w:pPr>
            <w:r w:rsidRPr="00B31519">
              <w:rPr>
                <w:rFonts w:eastAsia="Calibri"/>
                <w:kern w:val="22"/>
                <w:szCs w:val="22"/>
              </w:rPr>
              <w:t>(a)</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564809D4" w14:textId="77777777" w:rsidR="0038613F" w:rsidRPr="00A1040E" w:rsidRDefault="0038613F">
            <w:pPr>
              <w:suppressLineNumbers/>
              <w:suppressAutoHyphens/>
              <w:kinsoku w:val="0"/>
              <w:overflowPunct w:val="0"/>
              <w:autoSpaceDE w:val="0"/>
              <w:autoSpaceDN w:val="0"/>
              <w:adjustRightInd w:val="0"/>
              <w:snapToGrid w:val="0"/>
              <w:jc w:val="center"/>
              <w:rPr>
                <w:rFonts w:eastAsia="SimSun"/>
                <w:kern w:val="22"/>
                <w:szCs w:val="22"/>
              </w:rPr>
            </w:pPr>
            <w:r w:rsidRPr="00A1040E">
              <w:rPr>
                <w:rFonts w:eastAsia="SimSun"/>
                <w:kern w:val="22"/>
                <w:szCs w:val="22"/>
              </w:rPr>
              <w:t>21(43%)</w:t>
            </w:r>
          </w:p>
        </w:tc>
        <w:tc>
          <w:tcPr>
            <w:tcW w:w="1321" w:type="dxa"/>
            <w:tcBorders>
              <w:bottom w:val="single" w:sz="4" w:space="0" w:color="auto"/>
            </w:tcBorders>
            <w:shd w:val="clear" w:color="auto" w:fill="auto"/>
            <w:tcMar>
              <w:top w:w="29" w:type="dxa"/>
              <w:left w:w="115" w:type="dxa"/>
              <w:bottom w:w="29" w:type="dxa"/>
              <w:right w:w="115" w:type="dxa"/>
            </w:tcMar>
            <w:vAlign w:val="center"/>
          </w:tcPr>
          <w:p w14:paraId="24ADDACA" w14:textId="77777777" w:rsidR="0038613F" w:rsidRPr="00A1040E" w:rsidRDefault="0038613F">
            <w:pPr>
              <w:suppressLineNumbers/>
              <w:suppressAutoHyphens/>
              <w:kinsoku w:val="0"/>
              <w:overflowPunct w:val="0"/>
              <w:autoSpaceDE w:val="0"/>
              <w:autoSpaceDN w:val="0"/>
              <w:adjustRightInd w:val="0"/>
              <w:snapToGrid w:val="0"/>
              <w:jc w:val="left"/>
              <w:rPr>
                <w:rFonts w:eastAsia="SimSun"/>
                <w:kern w:val="22"/>
                <w:szCs w:val="22"/>
              </w:rPr>
            </w:pPr>
            <w:r w:rsidRPr="00A1040E">
              <w:rPr>
                <w:rFonts w:eastAsia="SimSun"/>
                <w:kern w:val="22"/>
                <w:szCs w:val="22"/>
              </w:rPr>
              <w:t>Q.39</w:t>
            </w:r>
          </w:p>
        </w:tc>
      </w:tr>
      <w:tr w:rsidR="0038613F" w:rsidRPr="00A1040E" w14:paraId="0B9BB7AE" w14:textId="77777777"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2BB2160E" w14:textId="77777777" w:rsidR="0038613F" w:rsidRPr="00C649EC"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41.</w:t>
            </w:r>
            <w:r w:rsidRPr="00A1040E">
              <w:rPr>
                <w:rFonts w:eastAsia="SimSun"/>
                <w:kern w:val="22"/>
                <w:szCs w:val="22"/>
              </w:rPr>
              <w:tab/>
            </w:r>
            <w:r w:rsidRPr="0052359B">
              <w:rPr>
                <w:rFonts w:eastAsia="Malgun Gothic"/>
                <w:i/>
                <w:kern w:val="22"/>
                <w:szCs w:val="22"/>
              </w:rPr>
              <w:t>New:</w:t>
            </w:r>
            <w:r w:rsidRPr="0052359B">
              <w:rPr>
                <w:rFonts w:eastAsia="Malgun Gothic"/>
                <w:kern w:val="22"/>
                <w:szCs w:val="22"/>
              </w:rPr>
              <w:t xml:space="preserve"> Number </w:t>
            </w:r>
            <w:r w:rsidRPr="008964A8">
              <w:rPr>
                <w:rFonts w:eastAsia="SimSun"/>
                <w:kern w:val="22"/>
                <w:szCs w:val="22"/>
              </w:rPr>
              <w:t xml:space="preserve">of indigenous peoples and local communities’ community protocols and procedures </w:t>
            </w:r>
            <w:r w:rsidRPr="00C649EC">
              <w:rPr>
                <w:rFonts w:eastAsia="Malgun Gothic"/>
                <w:kern w:val="22"/>
                <w:szCs w:val="22"/>
              </w:rPr>
              <w:t>developed</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6A04DE57"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(f)</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57D2A5D7" w14:textId="77777777" w:rsidR="0038613F" w:rsidRPr="00B31519" w:rsidRDefault="0038613F">
            <w:pPr>
              <w:suppressLineNumbers/>
              <w:suppressAutoHyphens/>
              <w:kinsoku w:val="0"/>
              <w:overflowPunct w:val="0"/>
              <w:autoSpaceDE w:val="0"/>
              <w:autoSpaceDN w:val="0"/>
              <w:adjustRightInd w:val="0"/>
              <w:snapToGrid w:val="0"/>
              <w:jc w:val="center"/>
              <w:rPr>
                <w:rFonts w:eastAsia="SimSun"/>
                <w:kern w:val="22"/>
                <w:szCs w:val="22"/>
              </w:rPr>
            </w:pPr>
            <w:r w:rsidRPr="00B31519">
              <w:rPr>
                <w:rFonts w:eastAsia="SimSun"/>
                <w:kern w:val="22"/>
                <w:szCs w:val="22"/>
              </w:rPr>
              <w:t>Not conclusive data</w:t>
            </w:r>
          </w:p>
        </w:tc>
        <w:tc>
          <w:tcPr>
            <w:tcW w:w="1321" w:type="dxa"/>
            <w:tcBorders>
              <w:bottom w:val="single" w:sz="4" w:space="0" w:color="auto"/>
            </w:tcBorders>
            <w:shd w:val="clear" w:color="auto" w:fill="auto"/>
            <w:tcMar>
              <w:top w:w="29" w:type="dxa"/>
              <w:left w:w="115" w:type="dxa"/>
              <w:bottom w:w="29" w:type="dxa"/>
              <w:right w:w="115" w:type="dxa"/>
            </w:tcMar>
            <w:vAlign w:val="center"/>
          </w:tcPr>
          <w:p w14:paraId="47311B12" w14:textId="77777777" w:rsidR="0038613F" w:rsidRPr="00A1040E" w:rsidRDefault="0038613F">
            <w:pPr>
              <w:suppressLineNumbers/>
              <w:suppressAutoHyphens/>
              <w:kinsoku w:val="0"/>
              <w:overflowPunct w:val="0"/>
              <w:autoSpaceDE w:val="0"/>
              <w:autoSpaceDN w:val="0"/>
              <w:adjustRightInd w:val="0"/>
              <w:snapToGrid w:val="0"/>
              <w:jc w:val="left"/>
              <w:rPr>
                <w:rFonts w:eastAsia="SimSun"/>
                <w:kern w:val="22"/>
                <w:szCs w:val="22"/>
              </w:rPr>
            </w:pPr>
            <w:r w:rsidRPr="00A1040E">
              <w:rPr>
                <w:rFonts w:eastAsia="SimSun"/>
                <w:kern w:val="22"/>
                <w:szCs w:val="22"/>
              </w:rPr>
              <w:t>Q.42 requires revision</w:t>
            </w:r>
          </w:p>
          <w:p w14:paraId="41E865F1" w14:textId="77777777" w:rsidR="0038613F" w:rsidRPr="00A1040E" w:rsidRDefault="0038613F">
            <w:pPr>
              <w:suppressLineNumbers/>
              <w:suppressAutoHyphens/>
              <w:kinsoku w:val="0"/>
              <w:overflowPunct w:val="0"/>
              <w:autoSpaceDE w:val="0"/>
              <w:autoSpaceDN w:val="0"/>
              <w:adjustRightInd w:val="0"/>
              <w:snapToGrid w:val="0"/>
              <w:jc w:val="left"/>
              <w:rPr>
                <w:rFonts w:eastAsia="SimSun"/>
                <w:kern w:val="22"/>
                <w:szCs w:val="22"/>
              </w:rPr>
            </w:pPr>
            <w:r w:rsidRPr="00A1040E">
              <w:rPr>
                <w:rFonts w:eastAsia="SimSun"/>
                <w:kern w:val="22"/>
                <w:szCs w:val="22"/>
              </w:rPr>
              <w:t>Targeted survey</w:t>
            </w:r>
          </w:p>
        </w:tc>
      </w:tr>
      <w:tr w:rsidR="0038613F" w:rsidRPr="00A1040E" w14:paraId="63DC0463" w14:textId="77777777"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6FE23B9D"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42.</w:t>
            </w:r>
            <w:r w:rsidRPr="0052359B">
              <w:rPr>
                <w:rFonts w:eastAsia="SimSun"/>
                <w:kern w:val="22"/>
                <w:szCs w:val="22"/>
              </w:rPr>
              <w:tab/>
              <w:t>Number of indigenous peoples and local communities’ customary laws, community protocols and procedures made available in the ABS Clearing-House</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5515F915"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(f)(g)</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47018EFE" w14:textId="77777777" w:rsidR="0038613F" w:rsidRPr="00A57937" w:rsidRDefault="0038613F">
            <w:pPr>
              <w:suppressLineNumbers/>
              <w:suppressAutoHyphens/>
              <w:kinsoku w:val="0"/>
              <w:overflowPunct w:val="0"/>
              <w:autoSpaceDE w:val="0"/>
              <w:autoSpaceDN w:val="0"/>
              <w:adjustRightInd w:val="0"/>
              <w:snapToGrid w:val="0"/>
              <w:jc w:val="center"/>
              <w:rPr>
                <w:rFonts w:eastAsia="SimSun"/>
                <w:kern w:val="22"/>
                <w:szCs w:val="22"/>
              </w:rPr>
            </w:pPr>
            <w:r w:rsidRPr="00A57937">
              <w:rPr>
                <w:rFonts w:eastAsia="SimSun"/>
                <w:kern w:val="22"/>
                <w:szCs w:val="22"/>
              </w:rPr>
              <w:t>3</w:t>
            </w:r>
          </w:p>
        </w:tc>
        <w:tc>
          <w:tcPr>
            <w:tcW w:w="1321" w:type="dxa"/>
            <w:tcBorders>
              <w:bottom w:val="single" w:sz="4" w:space="0" w:color="auto"/>
            </w:tcBorders>
            <w:shd w:val="clear" w:color="auto" w:fill="auto"/>
            <w:tcMar>
              <w:top w:w="29" w:type="dxa"/>
              <w:left w:w="115" w:type="dxa"/>
              <w:bottom w:w="29" w:type="dxa"/>
              <w:right w:w="115" w:type="dxa"/>
            </w:tcMar>
            <w:vAlign w:val="center"/>
          </w:tcPr>
          <w:p w14:paraId="21D7837D"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ABS-CH</w:t>
            </w:r>
          </w:p>
        </w:tc>
      </w:tr>
      <w:tr w:rsidR="0038613F" w:rsidRPr="00A1040E" w14:paraId="63CA7D4A" w14:textId="77777777" w:rsidTr="00EA1A55">
        <w:trPr>
          <w:cantSplit/>
          <w:jc w:val="center"/>
        </w:trPr>
        <w:tc>
          <w:tcPr>
            <w:tcW w:w="9483" w:type="dxa"/>
            <w:gridSpan w:val="4"/>
            <w:shd w:val="pct5" w:color="auto" w:fill="auto"/>
            <w:tcMar>
              <w:top w:w="29" w:type="dxa"/>
              <w:left w:w="115" w:type="dxa"/>
              <w:bottom w:w="29" w:type="dxa"/>
              <w:right w:w="115" w:type="dxa"/>
            </w:tcMar>
            <w:vAlign w:val="center"/>
          </w:tcPr>
          <w:p w14:paraId="0AA129BA" w14:textId="77777777" w:rsidR="0038613F" w:rsidRPr="0052359B" w:rsidRDefault="0038613F">
            <w:pPr>
              <w:keepNext/>
              <w:suppressLineNumbers/>
              <w:suppressAutoHyphens/>
              <w:kinsoku w:val="0"/>
              <w:overflowPunct w:val="0"/>
              <w:autoSpaceDE w:val="0"/>
              <w:autoSpaceDN w:val="0"/>
              <w:adjustRightInd w:val="0"/>
              <w:snapToGrid w:val="0"/>
              <w:ind w:left="317"/>
              <w:jc w:val="left"/>
              <w:rPr>
                <w:rFonts w:eastAsia="SimSun"/>
                <w:b/>
                <w:kern w:val="22"/>
                <w:szCs w:val="22"/>
              </w:rPr>
            </w:pPr>
            <w:r w:rsidRPr="00A1040E">
              <w:rPr>
                <w:rFonts w:eastAsia="SimSun"/>
                <w:b/>
                <w:kern w:val="22"/>
                <w:szCs w:val="22"/>
              </w:rPr>
              <w:t>Contribution to conservation and sustainable use (Article 9)</w:t>
            </w:r>
          </w:p>
        </w:tc>
      </w:tr>
      <w:tr w:rsidR="0038613F" w:rsidRPr="00A1040E" w14:paraId="60143390" w14:textId="77777777"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6A356CFA" w14:textId="77777777" w:rsidR="0038613F" w:rsidRPr="00C649EC" w:rsidRDefault="0038613F">
            <w:pPr>
              <w:suppressLineNumbers/>
              <w:suppressAutoHyphens/>
              <w:kinsoku w:val="0"/>
              <w:overflowPunct w:val="0"/>
              <w:autoSpaceDE w:val="0"/>
              <w:autoSpaceDN w:val="0"/>
              <w:adjustRightInd w:val="0"/>
              <w:snapToGrid w:val="0"/>
              <w:ind w:left="314" w:hanging="360"/>
              <w:rPr>
                <w:rFonts w:eastAsia="Malgun Gothic"/>
                <w:kern w:val="22"/>
                <w:szCs w:val="22"/>
                <w:u w:color="000000"/>
              </w:rPr>
            </w:pPr>
            <w:r w:rsidRPr="00A1040E">
              <w:rPr>
                <w:rFonts w:eastAsia="Malgun Gothic"/>
                <w:kern w:val="22"/>
                <w:szCs w:val="22"/>
                <w:u w:color="000000"/>
              </w:rPr>
              <w:t>43.</w:t>
            </w:r>
            <w:r w:rsidRPr="00A1040E">
              <w:rPr>
                <w:rFonts w:eastAsia="Malgun Gothic"/>
                <w:kern w:val="22"/>
                <w:szCs w:val="22"/>
                <w:u w:color="000000"/>
              </w:rPr>
              <w:tab/>
            </w:r>
            <w:r w:rsidRPr="0052359B">
              <w:rPr>
                <w:rFonts w:eastAsia="Calibri"/>
                <w:i/>
                <w:color w:val="000000"/>
                <w:kern w:val="22"/>
                <w:szCs w:val="22"/>
                <w:u w:color="000000"/>
              </w:rPr>
              <w:t>Revised:</w:t>
            </w:r>
            <w:r w:rsidRPr="0052359B">
              <w:rPr>
                <w:rFonts w:eastAsia="Calibri"/>
                <w:color w:val="000000"/>
                <w:kern w:val="22"/>
                <w:szCs w:val="22"/>
                <w:u w:color="000000"/>
              </w:rPr>
              <w:t xml:space="preserve"> </w:t>
            </w:r>
            <w:r w:rsidRPr="008964A8">
              <w:rPr>
                <w:rFonts w:eastAsia="SimSun"/>
                <w:kern w:val="22"/>
                <w:szCs w:val="22"/>
              </w:rPr>
              <w:t>Number and percentage of Parties that reported t</w:t>
            </w:r>
            <w:r w:rsidRPr="00C649EC">
              <w:rPr>
                <w:rFonts w:eastAsia="SimSun"/>
                <w:kern w:val="22"/>
                <w:szCs w:val="22"/>
              </w:rPr>
              <w:t>hat i</w:t>
            </w:r>
            <w:r w:rsidRPr="00C649EC">
              <w:rPr>
                <w:rFonts w:eastAsia="Malgun Gothic"/>
                <w:kern w:val="22"/>
                <w:szCs w:val="22"/>
                <w:u w:color="000000"/>
              </w:rPr>
              <w:t>mplementation of the Nagoya Protocol has contributed to conservation and sustainable use of biodiversity in their country</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1EA29EA5"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(b)</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5FACE207" w14:textId="77777777" w:rsidR="0038613F" w:rsidRPr="00B31519" w:rsidRDefault="0038613F">
            <w:pPr>
              <w:suppressLineNumbers/>
              <w:suppressAutoHyphens/>
              <w:kinsoku w:val="0"/>
              <w:overflowPunct w:val="0"/>
              <w:autoSpaceDE w:val="0"/>
              <w:autoSpaceDN w:val="0"/>
              <w:adjustRightInd w:val="0"/>
              <w:snapToGrid w:val="0"/>
              <w:jc w:val="center"/>
              <w:rPr>
                <w:rFonts w:eastAsia="SimSun"/>
                <w:kern w:val="22"/>
                <w:szCs w:val="22"/>
              </w:rPr>
            </w:pPr>
            <w:r w:rsidRPr="00B31519">
              <w:rPr>
                <w:rFonts w:eastAsia="SimSun"/>
                <w:kern w:val="22"/>
                <w:szCs w:val="22"/>
              </w:rPr>
              <w:t>Not conclusive data</w:t>
            </w:r>
          </w:p>
        </w:tc>
        <w:tc>
          <w:tcPr>
            <w:tcW w:w="1321" w:type="dxa"/>
            <w:tcBorders>
              <w:bottom w:val="single" w:sz="4" w:space="0" w:color="auto"/>
            </w:tcBorders>
            <w:shd w:val="clear" w:color="auto" w:fill="auto"/>
            <w:tcMar>
              <w:top w:w="29" w:type="dxa"/>
              <w:left w:w="115" w:type="dxa"/>
              <w:bottom w:w="29" w:type="dxa"/>
              <w:right w:w="115" w:type="dxa"/>
            </w:tcMar>
            <w:vAlign w:val="center"/>
          </w:tcPr>
          <w:p w14:paraId="06680854" w14:textId="77777777" w:rsidR="0038613F" w:rsidRPr="00A1040E" w:rsidRDefault="0038613F">
            <w:pPr>
              <w:suppressLineNumbers/>
              <w:suppressAutoHyphens/>
              <w:kinsoku w:val="0"/>
              <w:overflowPunct w:val="0"/>
              <w:autoSpaceDE w:val="0"/>
              <w:autoSpaceDN w:val="0"/>
              <w:adjustRightInd w:val="0"/>
              <w:snapToGrid w:val="0"/>
              <w:jc w:val="left"/>
              <w:rPr>
                <w:rFonts w:eastAsia="SimSun"/>
                <w:kern w:val="22"/>
                <w:szCs w:val="22"/>
              </w:rPr>
            </w:pPr>
            <w:r w:rsidRPr="00A1040E">
              <w:rPr>
                <w:rFonts w:eastAsia="SimSun"/>
                <w:kern w:val="22"/>
                <w:szCs w:val="22"/>
              </w:rPr>
              <w:t>Q.46 requires revision</w:t>
            </w:r>
          </w:p>
        </w:tc>
      </w:tr>
      <w:tr w:rsidR="0038613F" w:rsidRPr="00A1040E" w14:paraId="7CE10301" w14:textId="77777777" w:rsidTr="00EA1A55">
        <w:trPr>
          <w:cantSplit/>
          <w:jc w:val="center"/>
        </w:trPr>
        <w:tc>
          <w:tcPr>
            <w:tcW w:w="9483" w:type="dxa"/>
            <w:gridSpan w:val="4"/>
            <w:shd w:val="pct5" w:color="auto" w:fill="auto"/>
            <w:tcMar>
              <w:top w:w="29" w:type="dxa"/>
              <w:left w:w="115" w:type="dxa"/>
              <w:bottom w:w="29" w:type="dxa"/>
              <w:right w:w="115" w:type="dxa"/>
            </w:tcMar>
            <w:vAlign w:val="center"/>
          </w:tcPr>
          <w:p w14:paraId="020B0C3C" w14:textId="77777777" w:rsidR="0038613F" w:rsidRPr="0052359B" w:rsidRDefault="0038613F">
            <w:pPr>
              <w:keepNext/>
              <w:suppressLineNumbers/>
              <w:suppressAutoHyphens/>
              <w:kinsoku w:val="0"/>
              <w:overflowPunct w:val="0"/>
              <w:autoSpaceDE w:val="0"/>
              <w:autoSpaceDN w:val="0"/>
              <w:adjustRightInd w:val="0"/>
              <w:snapToGrid w:val="0"/>
              <w:ind w:left="314"/>
              <w:jc w:val="left"/>
              <w:rPr>
                <w:rFonts w:eastAsia="SimSun"/>
                <w:b/>
                <w:kern w:val="22"/>
                <w:szCs w:val="22"/>
              </w:rPr>
            </w:pPr>
            <w:r w:rsidRPr="00A1040E">
              <w:rPr>
                <w:rFonts w:eastAsia="SimSun"/>
                <w:b/>
                <w:kern w:val="22"/>
                <w:szCs w:val="22"/>
              </w:rPr>
              <w:t>Model contractual clauses, codes of conduct,</w:t>
            </w:r>
            <w:r w:rsidRPr="0052359B">
              <w:rPr>
                <w:rFonts w:eastAsia="SimSun"/>
                <w:b/>
                <w:kern w:val="22"/>
                <w:szCs w:val="22"/>
              </w:rPr>
              <w:t xml:space="preserve"> guidelines, best practices and standards (Articles</w:t>
            </w:r>
            <w:r w:rsidRPr="000346A8">
              <w:rPr>
                <w:rFonts w:eastAsia="SimSun"/>
                <w:kern w:val="22"/>
                <w:szCs w:val="22"/>
              </w:rPr>
              <w:t> </w:t>
            </w:r>
            <w:r w:rsidRPr="00A1040E">
              <w:rPr>
                <w:rFonts w:eastAsia="SimSun"/>
                <w:b/>
                <w:kern w:val="22"/>
                <w:szCs w:val="22"/>
              </w:rPr>
              <w:t>19 and 20)</w:t>
            </w:r>
          </w:p>
        </w:tc>
      </w:tr>
      <w:tr w:rsidR="0038613F" w:rsidRPr="00A1040E" w14:paraId="40D306E0" w14:textId="77777777"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5F3D39D2" w14:textId="77777777" w:rsidR="0038613F" w:rsidRPr="0052359B"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44.</w:t>
            </w:r>
            <w:r w:rsidRPr="00A1040E">
              <w:rPr>
                <w:rFonts w:eastAsia="SimSun"/>
                <w:kern w:val="22"/>
                <w:szCs w:val="22"/>
              </w:rPr>
              <w:tab/>
              <w:t>Number of model contractual clauses developed</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4AE012D1" w14:textId="77777777" w:rsidR="0038613F" w:rsidRPr="008964A8" w:rsidRDefault="0038613F">
            <w:pPr>
              <w:suppressLineNumbers/>
              <w:suppressAutoHyphens/>
              <w:kinsoku w:val="0"/>
              <w:overflowPunct w:val="0"/>
              <w:autoSpaceDE w:val="0"/>
              <w:autoSpaceDN w:val="0"/>
              <w:adjustRightInd w:val="0"/>
              <w:snapToGrid w:val="0"/>
              <w:jc w:val="center"/>
              <w:rPr>
                <w:rFonts w:eastAsia="Calibri"/>
                <w:kern w:val="22"/>
                <w:szCs w:val="22"/>
              </w:rPr>
            </w:pPr>
            <w:r w:rsidRPr="008964A8">
              <w:rPr>
                <w:rFonts w:eastAsia="Calibri"/>
                <w:kern w:val="22"/>
                <w:szCs w:val="22"/>
              </w:rPr>
              <w:t>(f)</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113EBA7D" w14:textId="77777777" w:rsidR="0038613F" w:rsidRPr="00C649EC" w:rsidRDefault="0038613F">
            <w:pPr>
              <w:suppressLineNumbers/>
              <w:suppressAutoHyphens/>
              <w:kinsoku w:val="0"/>
              <w:overflowPunct w:val="0"/>
              <w:autoSpaceDE w:val="0"/>
              <w:autoSpaceDN w:val="0"/>
              <w:adjustRightInd w:val="0"/>
              <w:snapToGrid w:val="0"/>
              <w:jc w:val="center"/>
              <w:rPr>
                <w:rFonts w:eastAsia="SimSun"/>
                <w:kern w:val="22"/>
                <w:szCs w:val="22"/>
              </w:rPr>
            </w:pPr>
            <w:r w:rsidRPr="00C649EC">
              <w:rPr>
                <w:rFonts w:eastAsia="SimSun"/>
                <w:kern w:val="22"/>
                <w:szCs w:val="22"/>
              </w:rPr>
              <w:t>29</w:t>
            </w:r>
          </w:p>
        </w:tc>
        <w:tc>
          <w:tcPr>
            <w:tcW w:w="1321" w:type="dxa"/>
            <w:tcBorders>
              <w:bottom w:val="single" w:sz="4" w:space="0" w:color="auto"/>
            </w:tcBorders>
            <w:shd w:val="clear" w:color="auto" w:fill="auto"/>
            <w:tcMar>
              <w:top w:w="29" w:type="dxa"/>
              <w:left w:w="115" w:type="dxa"/>
              <w:bottom w:w="29" w:type="dxa"/>
              <w:right w:w="115" w:type="dxa"/>
            </w:tcMar>
            <w:vAlign w:val="center"/>
          </w:tcPr>
          <w:p w14:paraId="2E8509BB" w14:textId="77777777" w:rsidR="0038613F" w:rsidRPr="00A57937" w:rsidRDefault="0038613F">
            <w:pPr>
              <w:suppressLineNumbers/>
              <w:suppressAutoHyphens/>
              <w:kinsoku w:val="0"/>
              <w:overflowPunct w:val="0"/>
              <w:autoSpaceDE w:val="0"/>
              <w:autoSpaceDN w:val="0"/>
              <w:adjustRightInd w:val="0"/>
              <w:snapToGrid w:val="0"/>
              <w:jc w:val="left"/>
              <w:rPr>
                <w:rFonts w:eastAsia="SimSun"/>
                <w:kern w:val="22"/>
                <w:szCs w:val="22"/>
              </w:rPr>
            </w:pPr>
            <w:r w:rsidRPr="00A57937">
              <w:rPr>
                <w:rFonts w:eastAsia="SimSun"/>
                <w:kern w:val="22"/>
                <w:szCs w:val="22"/>
              </w:rPr>
              <w:t>Q.51, targeted survey</w:t>
            </w:r>
          </w:p>
        </w:tc>
      </w:tr>
      <w:tr w:rsidR="0038613F" w:rsidRPr="00A1040E" w14:paraId="3994F46D" w14:textId="77777777"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7ABBA533"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45.</w:t>
            </w:r>
            <w:r w:rsidRPr="00A1040E">
              <w:rPr>
                <w:rFonts w:eastAsia="SimSun"/>
                <w:kern w:val="22"/>
                <w:szCs w:val="22"/>
              </w:rPr>
              <w:tab/>
              <w:t>Number of codes of conduct, guidelines, best practices and standards developed</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0BBD8FF7"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(f)</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0248A2B8" w14:textId="77777777" w:rsidR="0038613F" w:rsidRPr="00A57937" w:rsidRDefault="0038613F">
            <w:pPr>
              <w:suppressLineNumbers/>
              <w:suppressAutoHyphens/>
              <w:kinsoku w:val="0"/>
              <w:overflowPunct w:val="0"/>
              <w:autoSpaceDE w:val="0"/>
              <w:autoSpaceDN w:val="0"/>
              <w:adjustRightInd w:val="0"/>
              <w:snapToGrid w:val="0"/>
              <w:jc w:val="center"/>
              <w:rPr>
                <w:rFonts w:eastAsia="SimSun"/>
                <w:kern w:val="22"/>
                <w:szCs w:val="22"/>
              </w:rPr>
            </w:pPr>
            <w:r w:rsidRPr="00A57937">
              <w:rPr>
                <w:rFonts w:eastAsia="SimSun"/>
                <w:kern w:val="22"/>
                <w:szCs w:val="22"/>
              </w:rPr>
              <w:t>33</w:t>
            </w:r>
          </w:p>
        </w:tc>
        <w:tc>
          <w:tcPr>
            <w:tcW w:w="1321" w:type="dxa"/>
            <w:tcBorders>
              <w:bottom w:val="single" w:sz="4" w:space="0" w:color="auto"/>
            </w:tcBorders>
            <w:shd w:val="clear" w:color="auto" w:fill="auto"/>
            <w:tcMar>
              <w:top w:w="29" w:type="dxa"/>
              <w:left w:w="115" w:type="dxa"/>
              <w:bottom w:w="29" w:type="dxa"/>
              <w:right w:w="115" w:type="dxa"/>
            </w:tcMar>
            <w:vAlign w:val="center"/>
          </w:tcPr>
          <w:p w14:paraId="379711DC"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Q.52, targeted survey</w:t>
            </w:r>
          </w:p>
        </w:tc>
      </w:tr>
      <w:tr w:rsidR="0038613F" w:rsidRPr="00A1040E" w14:paraId="2EB218AC" w14:textId="77777777"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2271B95D"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46.</w:t>
            </w:r>
            <w:r w:rsidRPr="00A1040E">
              <w:rPr>
                <w:rFonts w:eastAsia="SimSun"/>
                <w:kern w:val="22"/>
                <w:szCs w:val="22"/>
              </w:rPr>
              <w:tab/>
              <w:t>Number and percentage of model contractual clauses made available in the ABS Clearing-House</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7FE0EE5C"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(f) (g)</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73254DDC" w14:textId="77777777" w:rsidR="0038613F" w:rsidRPr="00A57937" w:rsidRDefault="0038613F">
            <w:pPr>
              <w:suppressLineNumbers/>
              <w:suppressAutoHyphens/>
              <w:kinsoku w:val="0"/>
              <w:overflowPunct w:val="0"/>
              <w:autoSpaceDE w:val="0"/>
              <w:autoSpaceDN w:val="0"/>
              <w:adjustRightInd w:val="0"/>
              <w:snapToGrid w:val="0"/>
              <w:jc w:val="center"/>
              <w:rPr>
                <w:rFonts w:eastAsia="SimSun"/>
                <w:kern w:val="22"/>
                <w:szCs w:val="22"/>
              </w:rPr>
            </w:pPr>
            <w:r w:rsidRPr="00A57937">
              <w:rPr>
                <w:rFonts w:eastAsia="SimSun"/>
                <w:kern w:val="22"/>
                <w:szCs w:val="22"/>
              </w:rPr>
              <w:t>17 (59%)</w:t>
            </w:r>
          </w:p>
        </w:tc>
        <w:tc>
          <w:tcPr>
            <w:tcW w:w="1321" w:type="dxa"/>
            <w:tcBorders>
              <w:bottom w:val="single" w:sz="4" w:space="0" w:color="auto"/>
            </w:tcBorders>
            <w:shd w:val="clear" w:color="auto" w:fill="auto"/>
            <w:tcMar>
              <w:top w:w="29" w:type="dxa"/>
              <w:left w:w="115" w:type="dxa"/>
              <w:bottom w:w="29" w:type="dxa"/>
              <w:right w:w="115" w:type="dxa"/>
            </w:tcMar>
            <w:vAlign w:val="center"/>
          </w:tcPr>
          <w:p w14:paraId="7928D64C"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ABS-CH</w:t>
            </w:r>
          </w:p>
        </w:tc>
      </w:tr>
      <w:tr w:rsidR="0038613F" w:rsidRPr="00A1040E" w14:paraId="3C16C390" w14:textId="77777777"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01694A17"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47.</w:t>
            </w:r>
            <w:r w:rsidRPr="00A1040E">
              <w:rPr>
                <w:rFonts w:eastAsia="SimSun"/>
                <w:kern w:val="22"/>
                <w:szCs w:val="22"/>
              </w:rPr>
              <w:tab/>
              <w:t>Number and percentage of codes of conduct, guidelines, best practices and standards made available in the ABS Clearing-House</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3F4C1265"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(f) (g)</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646A95D1" w14:textId="77777777" w:rsidR="0038613F" w:rsidRPr="00A57937" w:rsidRDefault="0038613F">
            <w:pPr>
              <w:suppressLineNumbers/>
              <w:suppressAutoHyphens/>
              <w:kinsoku w:val="0"/>
              <w:overflowPunct w:val="0"/>
              <w:autoSpaceDE w:val="0"/>
              <w:autoSpaceDN w:val="0"/>
              <w:adjustRightInd w:val="0"/>
              <w:snapToGrid w:val="0"/>
              <w:jc w:val="center"/>
              <w:rPr>
                <w:rFonts w:eastAsia="SimSun"/>
                <w:kern w:val="22"/>
                <w:szCs w:val="22"/>
              </w:rPr>
            </w:pPr>
            <w:r w:rsidRPr="00A57937">
              <w:rPr>
                <w:rFonts w:eastAsia="SimSun"/>
                <w:kern w:val="22"/>
                <w:szCs w:val="22"/>
              </w:rPr>
              <w:t>25 (75%)</w:t>
            </w:r>
          </w:p>
        </w:tc>
        <w:tc>
          <w:tcPr>
            <w:tcW w:w="1321" w:type="dxa"/>
            <w:tcBorders>
              <w:bottom w:val="single" w:sz="4" w:space="0" w:color="auto"/>
            </w:tcBorders>
            <w:shd w:val="clear" w:color="auto" w:fill="auto"/>
            <w:tcMar>
              <w:top w:w="29" w:type="dxa"/>
              <w:left w:w="115" w:type="dxa"/>
              <w:bottom w:w="29" w:type="dxa"/>
              <w:right w:w="115" w:type="dxa"/>
            </w:tcMar>
            <w:vAlign w:val="center"/>
          </w:tcPr>
          <w:p w14:paraId="68025228"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ABS-CH</w:t>
            </w:r>
          </w:p>
        </w:tc>
      </w:tr>
      <w:tr w:rsidR="0038613F" w:rsidRPr="00A1040E" w14:paraId="0D346A08" w14:textId="77777777" w:rsidTr="00EA1A55">
        <w:trPr>
          <w:cantSplit/>
          <w:jc w:val="center"/>
        </w:trPr>
        <w:tc>
          <w:tcPr>
            <w:tcW w:w="9483" w:type="dxa"/>
            <w:gridSpan w:val="4"/>
            <w:shd w:val="pct5" w:color="auto" w:fill="auto"/>
            <w:tcMar>
              <w:top w:w="29" w:type="dxa"/>
              <w:left w:w="115" w:type="dxa"/>
              <w:bottom w:w="29" w:type="dxa"/>
              <w:right w:w="115" w:type="dxa"/>
            </w:tcMar>
            <w:vAlign w:val="center"/>
          </w:tcPr>
          <w:p w14:paraId="50594EE4" w14:textId="77777777" w:rsidR="0038613F" w:rsidRPr="0052359B" w:rsidRDefault="0038613F">
            <w:pPr>
              <w:keepNext/>
              <w:suppressLineNumbers/>
              <w:suppressAutoHyphens/>
              <w:kinsoku w:val="0"/>
              <w:overflowPunct w:val="0"/>
              <w:autoSpaceDE w:val="0"/>
              <w:autoSpaceDN w:val="0"/>
              <w:adjustRightInd w:val="0"/>
              <w:snapToGrid w:val="0"/>
              <w:ind w:left="314"/>
              <w:jc w:val="left"/>
              <w:rPr>
                <w:rFonts w:eastAsia="SimSun"/>
                <w:b/>
                <w:kern w:val="22"/>
                <w:szCs w:val="22"/>
              </w:rPr>
            </w:pPr>
            <w:r w:rsidRPr="00A1040E">
              <w:rPr>
                <w:rFonts w:eastAsia="SimSun"/>
                <w:b/>
                <w:kern w:val="22"/>
                <w:szCs w:val="22"/>
              </w:rPr>
              <w:t>Awareness-raising and capacity (Article 21 and 22)</w:t>
            </w:r>
          </w:p>
        </w:tc>
      </w:tr>
      <w:tr w:rsidR="0038613F" w:rsidRPr="00A1040E" w14:paraId="0E870D23" w14:textId="77777777" w:rsidTr="00EA1A55">
        <w:trPr>
          <w:cantSplit/>
          <w:jc w:val="center"/>
        </w:trPr>
        <w:tc>
          <w:tcPr>
            <w:tcW w:w="5552" w:type="dxa"/>
            <w:shd w:val="clear" w:color="auto" w:fill="auto"/>
            <w:tcMar>
              <w:top w:w="29" w:type="dxa"/>
              <w:left w:w="115" w:type="dxa"/>
              <w:bottom w:w="29" w:type="dxa"/>
              <w:right w:w="115" w:type="dxa"/>
            </w:tcMar>
          </w:tcPr>
          <w:p w14:paraId="2ED46948"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48.</w:t>
            </w:r>
            <w:r w:rsidRPr="00A1040E">
              <w:rPr>
                <w:rFonts w:eastAsia="SimSun"/>
                <w:kern w:val="22"/>
                <w:szCs w:val="22"/>
              </w:rPr>
              <w:tab/>
              <w:t xml:space="preserve">Number and percentage of Parties that received external support for building and developing capacity for the implementation of the Nagoya Protocol since entry into force of the </w:t>
            </w:r>
            <w:r w:rsidRPr="008964A8">
              <w:rPr>
                <w:rFonts w:eastAsia="SimSun"/>
                <w:kern w:val="22"/>
                <w:szCs w:val="22"/>
              </w:rPr>
              <w:t>Protocol</w:t>
            </w:r>
          </w:p>
        </w:tc>
        <w:tc>
          <w:tcPr>
            <w:tcW w:w="1104" w:type="dxa"/>
            <w:shd w:val="clear" w:color="auto" w:fill="auto"/>
            <w:tcMar>
              <w:top w:w="29" w:type="dxa"/>
              <w:left w:w="115" w:type="dxa"/>
              <w:bottom w:w="29" w:type="dxa"/>
              <w:right w:w="115" w:type="dxa"/>
            </w:tcMar>
            <w:vAlign w:val="center"/>
          </w:tcPr>
          <w:p w14:paraId="25D7C7B9"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(c)</w:t>
            </w:r>
          </w:p>
        </w:tc>
        <w:tc>
          <w:tcPr>
            <w:tcW w:w="1506" w:type="dxa"/>
            <w:shd w:val="clear" w:color="auto" w:fill="auto"/>
            <w:tcMar>
              <w:top w:w="29" w:type="dxa"/>
              <w:left w:w="115" w:type="dxa"/>
              <w:bottom w:w="29" w:type="dxa"/>
              <w:right w:w="115" w:type="dxa"/>
            </w:tcMar>
            <w:vAlign w:val="center"/>
          </w:tcPr>
          <w:p w14:paraId="6215D281" w14:textId="77777777" w:rsidR="0038613F" w:rsidRPr="00A57937" w:rsidRDefault="0038613F">
            <w:pPr>
              <w:suppressLineNumbers/>
              <w:suppressAutoHyphens/>
              <w:kinsoku w:val="0"/>
              <w:overflowPunct w:val="0"/>
              <w:autoSpaceDE w:val="0"/>
              <w:autoSpaceDN w:val="0"/>
              <w:adjustRightInd w:val="0"/>
              <w:snapToGrid w:val="0"/>
              <w:jc w:val="center"/>
              <w:rPr>
                <w:rFonts w:eastAsia="SimSun"/>
                <w:kern w:val="22"/>
                <w:szCs w:val="22"/>
              </w:rPr>
            </w:pPr>
            <w:r w:rsidRPr="00A57937">
              <w:rPr>
                <w:rFonts w:eastAsia="SimSun"/>
                <w:kern w:val="22"/>
                <w:szCs w:val="22"/>
              </w:rPr>
              <w:t>45 (43%)</w:t>
            </w:r>
          </w:p>
        </w:tc>
        <w:tc>
          <w:tcPr>
            <w:tcW w:w="1321" w:type="dxa"/>
            <w:shd w:val="clear" w:color="auto" w:fill="auto"/>
            <w:tcMar>
              <w:top w:w="29" w:type="dxa"/>
              <w:left w:w="115" w:type="dxa"/>
              <w:bottom w:w="29" w:type="dxa"/>
              <w:right w:w="115" w:type="dxa"/>
            </w:tcMar>
            <w:vAlign w:val="center"/>
          </w:tcPr>
          <w:p w14:paraId="7A3997F2"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Q.56</w:t>
            </w:r>
          </w:p>
        </w:tc>
      </w:tr>
      <w:tr w:rsidR="0038613F" w:rsidRPr="00A1040E" w14:paraId="53039D41" w14:textId="77777777" w:rsidTr="00EA1A55">
        <w:trPr>
          <w:cantSplit/>
          <w:jc w:val="center"/>
        </w:trPr>
        <w:tc>
          <w:tcPr>
            <w:tcW w:w="5552" w:type="dxa"/>
            <w:shd w:val="clear" w:color="auto" w:fill="auto"/>
            <w:tcMar>
              <w:top w:w="29" w:type="dxa"/>
              <w:left w:w="115" w:type="dxa"/>
              <w:bottom w:w="29" w:type="dxa"/>
              <w:right w:w="115" w:type="dxa"/>
            </w:tcMar>
          </w:tcPr>
          <w:p w14:paraId="6E0FB2AE"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49.</w:t>
            </w:r>
            <w:r w:rsidRPr="00A1040E">
              <w:rPr>
                <w:rFonts w:eastAsia="SimSun"/>
                <w:kern w:val="22"/>
                <w:szCs w:val="22"/>
              </w:rPr>
              <w:tab/>
              <w:t>Number and percentage of Parties that provided external support for building and developing capacity for the implementation of the Nagoya Protocol since entry into force of the Protocol</w:t>
            </w:r>
          </w:p>
        </w:tc>
        <w:tc>
          <w:tcPr>
            <w:tcW w:w="1104" w:type="dxa"/>
            <w:shd w:val="clear" w:color="auto" w:fill="auto"/>
            <w:tcMar>
              <w:top w:w="29" w:type="dxa"/>
              <w:left w:w="115" w:type="dxa"/>
              <w:bottom w:w="29" w:type="dxa"/>
              <w:right w:w="115" w:type="dxa"/>
            </w:tcMar>
            <w:vAlign w:val="center"/>
          </w:tcPr>
          <w:p w14:paraId="6B46BB8A"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(c)</w:t>
            </w:r>
          </w:p>
        </w:tc>
        <w:tc>
          <w:tcPr>
            <w:tcW w:w="1506" w:type="dxa"/>
            <w:shd w:val="clear" w:color="auto" w:fill="auto"/>
            <w:tcMar>
              <w:top w:w="29" w:type="dxa"/>
              <w:left w:w="115" w:type="dxa"/>
              <w:bottom w:w="29" w:type="dxa"/>
              <w:right w:w="115" w:type="dxa"/>
            </w:tcMar>
            <w:vAlign w:val="center"/>
          </w:tcPr>
          <w:p w14:paraId="13958091" w14:textId="77777777" w:rsidR="0038613F" w:rsidRPr="00A57937" w:rsidRDefault="0038613F">
            <w:pPr>
              <w:suppressLineNumbers/>
              <w:suppressAutoHyphens/>
              <w:kinsoku w:val="0"/>
              <w:overflowPunct w:val="0"/>
              <w:autoSpaceDE w:val="0"/>
              <w:autoSpaceDN w:val="0"/>
              <w:adjustRightInd w:val="0"/>
              <w:snapToGrid w:val="0"/>
              <w:jc w:val="center"/>
              <w:rPr>
                <w:rFonts w:eastAsia="SimSun"/>
                <w:kern w:val="22"/>
                <w:szCs w:val="22"/>
              </w:rPr>
            </w:pPr>
            <w:r w:rsidRPr="00A57937">
              <w:rPr>
                <w:rFonts w:eastAsia="SimSun"/>
                <w:kern w:val="22"/>
                <w:szCs w:val="22"/>
              </w:rPr>
              <w:t>27 (26%)</w:t>
            </w:r>
          </w:p>
        </w:tc>
        <w:tc>
          <w:tcPr>
            <w:tcW w:w="1321" w:type="dxa"/>
            <w:shd w:val="clear" w:color="auto" w:fill="auto"/>
            <w:tcMar>
              <w:top w:w="29" w:type="dxa"/>
              <w:left w:w="115" w:type="dxa"/>
              <w:bottom w:w="29" w:type="dxa"/>
              <w:right w:w="115" w:type="dxa"/>
            </w:tcMar>
            <w:vAlign w:val="center"/>
          </w:tcPr>
          <w:p w14:paraId="6971EFA6"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Q.57</w:t>
            </w:r>
          </w:p>
        </w:tc>
      </w:tr>
      <w:tr w:rsidR="0038613F" w:rsidRPr="00A1040E" w14:paraId="7554FD24" w14:textId="77777777" w:rsidTr="00EA1A55">
        <w:trPr>
          <w:cantSplit/>
          <w:jc w:val="center"/>
        </w:trPr>
        <w:tc>
          <w:tcPr>
            <w:tcW w:w="5552" w:type="dxa"/>
            <w:shd w:val="clear" w:color="auto" w:fill="auto"/>
            <w:tcMar>
              <w:top w:w="29" w:type="dxa"/>
              <w:left w:w="115" w:type="dxa"/>
              <w:bottom w:w="29" w:type="dxa"/>
              <w:right w:w="115" w:type="dxa"/>
            </w:tcMar>
          </w:tcPr>
          <w:p w14:paraId="4CB49A4F"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50.</w:t>
            </w:r>
            <w:r w:rsidRPr="00A1040E">
              <w:rPr>
                <w:rFonts w:eastAsia="SimSun"/>
                <w:kern w:val="22"/>
                <w:szCs w:val="22"/>
              </w:rPr>
              <w:tab/>
              <w:t xml:space="preserve">Number of </w:t>
            </w:r>
            <w:r w:rsidRPr="0052359B">
              <w:rPr>
                <w:rFonts w:eastAsia="SimSun"/>
                <w:kern w:val="22"/>
                <w:szCs w:val="22"/>
              </w:rPr>
              <w:t>capacity-building and development initiatives made available completed or initiated after the adoption of the Nagoya Protocol in 2010 and are providing, or have provided, direct support for country level activities contributing to the ratification and impl</w:t>
            </w:r>
            <w:r w:rsidRPr="008964A8">
              <w:rPr>
                <w:rFonts w:eastAsia="SimSun"/>
                <w:kern w:val="22"/>
                <w:szCs w:val="22"/>
              </w:rPr>
              <w:t>ementation of the Nagoya Protocol</w:t>
            </w:r>
          </w:p>
        </w:tc>
        <w:tc>
          <w:tcPr>
            <w:tcW w:w="1104" w:type="dxa"/>
            <w:shd w:val="clear" w:color="auto" w:fill="auto"/>
            <w:tcMar>
              <w:top w:w="29" w:type="dxa"/>
              <w:left w:w="115" w:type="dxa"/>
              <w:bottom w:w="29" w:type="dxa"/>
              <w:right w:w="115" w:type="dxa"/>
            </w:tcMar>
            <w:vAlign w:val="center"/>
          </w:tcPr>
          <w:p w14:paraId="47909E6B"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(c)</w:t>
            </w:r>
          </w:p>
        </w:tc>
        <w:tc>
          <w:tcPr>
            <w:tcW w:w="1506" w:type="dxa"/>
            <w:shd w:val="clear" w:color="auto" w:fill="auto"/>
            <w:tcMar>
              <w:top w:w="29" w:type="dxa"/>
              <w:left w:w="115" w:type="dxa"/>
              <w:bottom w:w="29" w:type="dxa"/>
              <w:right w:w="115" w:type="dxa"/>
            </w:tcMar>
            <w:vAlign w:val="center"/>
          </w:tcPr>
          <w:p w14:paraId="121A40EC" w14:textId="77777777" w:rsidR="0038613F" w:rsidRPr="00A57937" w:rsidRDefault="0038613F">
            <w:pPr>
              <w:suppressLineNumbers/>
              <w:suppressAutoHyphens/>
              <w:kinsoku w:val="0"/>
              <w:overflowPunct w:val="0"/>
              <w:autoSpaceDE w:val="0"/>
              <w:autoSpaceDN w:val="0"/>
              <w:adjustRightInd w:val="0"/>
              <w:snapToGrid w:val="0"/>
              <w:jc w:val="center"/>
              <w:rPr>
                <w:rFonts w:eastAsia="SimSun"/>
                <w:kern w:val="22"/>
                <w:szCs w:val="22"/>
              </w:rPr>
            </w:pPr>
            <w:r w:rsidRPr="00A57937">
              <w:rPr>
                <w:rFonts w:eastAsia="SimSun"/>
                <w:kern w:val="22"/>
                <w:szCs w:val="22"/>
              </w:rPr>
              <w:t>90</w:t>
            </w:r>
          </w:p>
        </w:tc>
        <w:tc>
          <w:tcPr>
            <w:tcW w:w="1321" w:type="dxa"/>
            <w:shd w:val="clear" w:color="auto" w:fill="auto"/>
            <w:tcMar>
              <w:top w:w="29" w:type="dxa"/>
              <w:left w:w="115" w:type="dxa"/>
              <w:bottom w:w="29" w:type="dxa"/>
              <w:right w:w="115" w:type="dxa"/>
            </w:tcMar>
            <w:vAlign w:val="center"/>
          </w:tcPr>
          <w:p w14:paraId="14394D3E"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SCBD documents on capacity-building</w:t>
            </w:r>
          </w:p>
        </w:tc>
      </w:tr>
      <w:tr w:rsidR="0038613F" w:rsidRPr="00A1040E" w14:paraId="752A0E54" w14:textId="77777777" w:rsidTr="00EA1A55">
        <w:trPr>
          <w:cantSplit/>
          <w:jc w:val="center"/>
        </w:trPr>
        <w:tc>
          <w:tcPr>
            <w:tcW w:w="5552" w:type="dxa"/>
            <w:shd w:val="clear" w:color="auto" w:fill="auto"/>
            <w:tcMar>
              <w:top w:w="29" w:type="dxa"/>
              <w:left w:w="115" w:type="dxa"/>
              <w:bottom w:w="29" w:type="dxa"/>
              <w:right w:w="115" w:type="dxa"/>
            </w:tcMar>
          </w:tcPr>
          <w:p w14:paraId="58804211"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51.</w:t>
            </w:r>
            <w:r w:rsidRPr="00A1040E">
              <w:rPr>
                <w:rFonts w:eastAsia="SimSun"/>
                <w:kern w:val="22"/>
                <w:szCs w:val="22"/>
              </w:rPr>
              <w:tab/>
              <w:t>Number of capacity-building and development initiatives made available to the ABS Clearing-House</w:t>
            </w:r>
          </w:p>
        </w:tc>
        <w:tc>
          <w:tcPr>
            <w:tcW w:w="1104" w:type="dxa"/>
            <w:shd w:val="clear" w:color="auto" w:fill="auto"/>
            <w:tcMar>
              <w:top w:w="29" w:type="dxa"/>
              <w:left w:w="115" w:type="dxa"/>
              <w:bottom w:w="29" w:type="dxa"/>
              <w:right w:w="115" w:type="dxa"/>
            </w:tcMar>
            <w:vAlign w:val="center"/>
          </w:tcPr>
          <w:p w14:paraId="4B7366E8"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(c)(g)</w:t>
            </w:r>
          </w:p>
        </w:tc>
        <w:tc>
          <w:tcPr>
            <w:tcW w:w="1506" w:type="dxa"/>
            <w:shd w:val="clear" w:color="auto" w:fill="auto"/>
            <w:tcMar>
              <w:top w:w="29" w:type="dxa"/>
              <w:left w:w="115" w:type="dxa"/>
              <w:bottom w:w="29" w:type="dxa"/>
              <w:right w:w="115" w:type="dxa"/>
            </w:tcMar>
            <w:vAlign w:val="center"/>
          </w:tcPr>
          <w:p w14:paraId="253FBF3B"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57</w:t>
            </w:r>
          </w:p>
        </w:tc>
        <w:tc>
          <w:tcPr>
            <w:tcW w:w="1321" w:type="dxa"/>
            <w:shd w:val="clear" w:color="auto" w:fill="auto"/>
            <w:tcMar>
              <w:top w:w="29" w:type="dxa"/>
              <w:left w:w="115" w:type="dxa"/>
              <w:bottom w:w="29" w:type="dxa"/>
              <w:right w:w="115" w:type="dxa"/>
            </w:tcMar>
            <w:vAlign w:val="center"/>
          </w:tcPr>
          <w:p w14:paraId="1997F1F5"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ABS-CH</w:t>
            </w:r>
          </w:p>
        </w:tc>
      </w:tr>
      <w:tr w:rsidR="0038613F" w:rsidRPr="00A1040E" w14:paraId="5CB06C8B" w14:textId="77777777" w:rsidTr="00EA1A55">
        <w:trPr>
          <w:cantSplit/>
          <w:jc w:val="center"/>
        </w:trPr>
        <w:tc>
          <w:tcPr>
            <w:tcW w:w="5552" w:type="dxa"/>
            <w:shd w:val="clear" w:color="auto" w:fill="auto"/>
            <w:tcMar>
              <w:top w:w="29" w:type="dxa"/>
              <w:left w:w="115" w:type="dxa"/>
              <w:bottom w:w="29" w:type="dxa"/>
              <w:right w:w="115" w:type="dxa"/>
            </w:tcMar>
          </w:tcPr>
          <w:p w14:paraId="6974B3E9"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52.</w:t>
            </w:r>
            <w:r w:rsidRPr="00A1040E">
              <w:rPr>
                <w:rFonts w:eastAsia="SimSun"/>
                <w:kern w:val="22"/>
                <w:szCs w:val="22"/>
              </w:rPr>
              <w:tab/>
              <w:t>Number of capacity-building and awareness-raising tools</w:t>
            </w:r>
            <w:r w:rsidRPr="0052359B">
              <w:rPr>
                <w:rFonts w:eastAsia="SimSun"/>
                <w:kern w:val="22"/>
                <w:szCs w:val="22"/>
              </w:rPr>
              <w:t xml:space="preserve"> and resources on access and benefit-sharing</w:t>
            </w:r>
          </w:p>
        </w:tc>
        <w:tc>
          <w:tcPr>
            <w:tcW w:w="1104" w:type="dxa"/>
            <w:shd w:val="clear" w:color="auto" w:fill="auto"/>
            <w:tcMar>
              <w:top w:w="29" w:type="dxa"/>
              <w:left w:w="115" w:type="dxa"/>
              <w:bottom w:w="29" w:type="dxa"/>
              <w:right w:w="115" w:type="dxa"/>
            </w:tcMar>
            <w:vAlign w:val="center"/>
          </w:tcPr>
          <w:p w14:paraId="3D26D42D"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(c)</w:t>
            </w:r>
          </w:p>
        </w:tc>
        <w:tc>
          <w:tcPr>
            <w:tcW w:w="1506" w:type="dxa"/>
            <w:shd w:val="clear" w:color="auto" w:fill="auto"/>
            <w:tcMar>
              <w:top w:w="29" w:type="dxa"/>
              <w:left w:w="115" w:type="dxa"/>
              <w:bottom w:w="29" w:type="dxa"/>
              <w:right w:w="115" w:type="dxa"/>
            </w:tcMar>
            <w:vAlign w:val="center"/>
          </w:tcPr>
          <w:p w14:paraId="15A696B8"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84</w:t>
            </w:r>
          </w:p>
        </w:tc>
        <w:tc>
          <w:tcPr>
            <w:tcW w:w="1321" w:type="dxa"/>
            <w:shd w:val="clear" w:color="auto" w:fill="auto"/>
            <w:tcMar>
              <w:top w:w="29" w:type="dxa"/>
              <w:left w:w="115" w:type="dxa"/>
              <w:bottom w:w="29" w:type="dxa"/>
              <w:right w:w="115" w:type="dxa"/>
            </w:tcMar>
            <w:vAlign w:val="center"/>
          </w:tcPr>
          <w:p w14:paraId="32F0D88D"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SCBD documents on capacity-building</w:t>
            </w:r>
          </w:p>
        </w:tc>
      </w:tr>
      <w:tr w:rsidR="0038613F" w:rsidRPr="00A1040E" w14:paraId="47E251E3" w14:textId="77777777"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7740E9BC" w14:textId="77777777" w:rsidR="0038613F" w:rsidRPr="000346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0346A8">
              <w:rPr>
                <w:rFonts w:eastAsia="SimSun"/>
                <w:kern w:val="22"/>
                <w:szCs w:val="22"/>
              </w:rPr>
              <w:t>53.</w:t>
            </w:r>
            <w:r w:rsidRPr="000346A8">
              <w:rPr>
                <w:rFonts w:eastAsia="SimSun"/>
                <w:kern w:val="22"/>
                <w:szCs w:val="22"/>
              </w:rPr>
              <w:tab/>
              <w:t>Number of capacity-building and awareness-raising tools and resources made available in the ABS Clearing-House</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1053B7F4" w14:textId="77777777" w:rsidR="0038613F" w:rsidRPr="0052359B" w:rsidRDefault="0038613F">
            <w:pPr>
              <w:suppressLineNumbers/>
              <w:suppressAutoHyphens/>
              <w:kinsoku w:val="0"/>
              <w:overflowPunct w:val="0"/>
              <w:autoSpaceDE w:val="0"/>
              <w:autoSpaceDN w:val="0"/>
              <w:adjustRightInd w:val="0"/>
              <w:snapToGrid w:val="0"/>
              <w:jc w:val="center"/>
              <w:rPr>
                <w:rFonts w:eastAsia="Calibri"/>
                <w:kern w:val="22"/>
                <w:szCs w:val="22"/>
              </w:rPr>
            </w:pPr>
            <w:r w:rsidRPr="00A1040E">
              <w:rPr>
                <w:rFonts w:eastAsia="Calibri"/>
                <w:kern w:val="22"/>
                <w:szCs w:val="22"/>
              </w:rPr>
              <w:t>(c)(g)</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76C4B96B" w14:textId="77777777" w:rsidR="0038613F" w:rsidRPr="008964A8" w:rsidRDefault="0038613F">
            <w:pPr>
              <w:suppressLineNumbers/>
              <w:suppressAutoHyphens/>
              <w:kinsoku w:val="0"/>
              <w:overflowPunct w:val="0"/>
              <w:autoSpaceDE w:val="0"/>
              <w:autoSpaceDN w:val="0"/>
              <w:adjustRightInd w:val="0"/>
              <w:snapToGrid w:val="0"/>
              <w:jc w:val="center"/>
              <w:rPr>
                <w:rFonts w:eastAsia="Calibri"/>
                <w:kern w:val="22"/>
                <w:szCs w:val="22"/>
              </w:rPr>
            </w:pPr>
            <w:r w:rsidRPr="008964A8">
              <w:rPr>
                <w:rFonts w:eastAsia="Calibri"/>
                <w:kern w:val="22"/>
                <w:szCs w:val="22"/>
              </w:rPr>
              <w:t>34</w:t>
            </w:r>
          </w:p>
        </w:tc>
        <w:tc>
          <w:tcPr>
            <w:tcW w:w="1321" w:type="dxa"/>
            <w:tcBorders>
              <w:bottom w:val="single" w:sz="4" w:space="0" w:color="auto"/>
            </w:tcBorders>
            <w:shd w:val="clear" w:color="auto" w:fill="auto"/>
            <w:tcMar>
              <w:top w:w="29" w:type="dxa"/>
              <w:left w:w="115" w:type="dxa"/>
              <w:bottom w:w="29" w:type="dxa"/>
              <w:right w:w="115" w:type="dxa"/>
            </w:tcMar>
            <w:vAlign w:val="center"/>
          </w:tcPr>
          <w:p w14:paraId="740A3D65" w14:textId="77777777" w:rsidR="0038613F" w:rsidRPr="00C649EC" w:rsidRDefault="0038613F">
            <w:pPr>
              <w:suppressLineNumbers/>
              <w:suppressAutoHyphens/>
              <w:kinsoku w:val="0"/>
              <w:overflowPunct w:val="0"/>
              <w:autoSpaceDE w:val="0"/>
              <w:autoSpaceDN w:val="0"/>
              <w:adjustRightInd w:val="0"/>
              <w:snapToGrid w:val="0"/>
              <w:jc w:val="left"/>
              <w:rPr>
                <w:rFonts w:eastAsia="SimSun"/>
                <w:kern w:val="22"/>
                <w:szCs w:val="22"/>
              </w:rPr>
            </w:pPr>
            <w:r w:rsidRPr="00C649EC">
              <w:rPr>
                <w:rFonts w:eastAsia="SimSun"/>
                <w:kern w:val="22"/>
                <w:szCs w:val="22"/>
              </w:rPr>
              <w:t>ABS-CH</w:t>
            </w:r>
          </w:p>
        </w:tc>
      </w:tr>
      <w:tr w:rsidR="0038613F" w:rsidRPr="00A1040E" w14:paraId="67692BCC" w14:textId="77777777" w:rsidTr="00EA1A55">
        <w:trPr>
          <w:cantSplit/>
          <w:jc w:val="center"/>
        </w:trPr>
        <w:tc>
          <w:tcPr>
            <w:tcW w:w="9483" w:type="dxa"/>
            <w:gridSpan w:val="4"/>
            <w:tcBorders>
              <w:bottom w:val="single" w:sz="4" w:space="0" w:color="auto"/>
            </w:tcBorders>
            <w:shd w:val="pct10" w:color="auto" w:fill="auto"/>
            <w:tcMar>
              <w:top w:w="29" w:type="dxa"/>
              <w:left w:w="115" w:type="dxa"/>
              <w:bottom w:w="29" w:type="dxa"/>
              <w:right w:w="115" w:type="dxa"/>
            </w:tcMar>
            <w:vAlign w:val="center"/>
          </w:tcPr>
          <w:p w14:paraId="506C5797" w14:textId="77777777" w:rsidR="0038613F" w:rsidRPr="0052359B" w:rsidRDefault="0038613F">
            <w:pPr>
              <w:keepNext/>
              <w:suppressLineNumbers/>
              <w:suppressAutoHyphens/>
              <w:kinsoku w:val="0"/>
              <w:overflowPunct w:val="0"/>
              <w:autoSpaceDE w:val="0"/>
              <w:autoSpaceDN w:val="0"/>
              <w:adjustRightInd w:val="0"/>
              <w:snapToGrid w:val="0"/>
              <w:ind w:left="317"/>
              <w:jc w:val="left"/>
              <w:rPr>
                <w:rFonts w:eastAsia="SimSun"/>
                <w:b/>
                <w:kern w:val="22"/>
                <w:szCs w:val="22"/>
              </w:rPr>
            </w:pPr>
            <w:r w:rsidRPr="00A1040E">
              <w:rPr>
                <w:rFonts w:eastAsia="SimSun"/>
                <w:b/>
                <w:kern w:val="22"/>
                <w:szCs w:val="22"/>
              </w:rPr>
              <w:t>Technology transfer, collaboration</w:t>
            </w:r>
            <w:r w:rsidRPr="0052359B">
              <w:rPr>
                <w:rFonts w:eastAsia="SimSun"/>
                <w:b/>
                <w:kern w:val="22"/>
                <w:szCs w:val="22"/>
              </w:rPr>
              <w:t xml:space="preserve"> and cooperation</w:t>
            </w:r>
          </w:p>
        </w:tc>
      </w:tr>
      <w:tr w:rsidR="0038613F" w:rsidRPr="00A1040E" w14:paraId="2466DC58" w14:textId="77777777"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48C2192F"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54.</w:t>
            </w:r>
            <w:r w:rsidRPr="00A1040E">
              <w:rPr>
                <w:rFonts w:eastAsia="SimSun"/>
                <w:kern w:val="22"/>
                <w:szCs w:val="22"/>
              </w:rPr>
              <w:tab/>
              <w:t>Number and percentage of Parties that have collaborated and cooperated in technical and scientific research and development programmes as a means to achieve the objective of the Protocol as provided in Article 23</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594D0560"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(a)</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7AD423E4" w14:textId="77777777" w:rsidR="0038613F" w:rsidRPr="00A57937"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Calibri"/>
                <w:kern w:val="22"/>
                <w:szCs w:val="22"/>
              </w:rPr>
              <w:t>46 (44%)</w:t>
            </w:r>
          </w:p>
        </w:tc>
        <w:tc>
          <w:tcPr>
            <w:tcW w:w="1321" w:type="dxa"/>
            <w:tcBorders>
              <w:bottom w:val="single" w:sz="4" w:space="0" w:color="auto"/>
            </w:tcBorders>
            <w:shd w:val="clear" w:color="auto" w:fill="auto"/>
            <w:tcMar>
              <w:top w:w="29" w:type="dxa"/>
              <w:left w:w="115" w:type="dxa"/>
              <w:bottom w:w="29" w:type="dxa"/>
              <w:right w:w="115" w:type="dxa"/>
            </w:tcMar>
            <w:vAlign w:val="center"/>
          </w:tcPr>
          <w:p w14:paraId="3771D0DF"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Q.59</w:t>
            </w:r>
          </w:p>
        </w:tc>
      </w:tr>
      <w:tr w:rsidR="0038613F" w:rsidRPr="00A1040E" w14:paraId="79DDFB1A" w14:textId="77777777" w:rsidTr="00EA1A55">
        <w:trPr>
          <w:cantSplit/>
          <w:jc w:val="center"/>
        </w:trPr>
        <w:tc>
          <w:tcPr>
            <w:tcW w:w="9483" w:type="dxa"/>
            <w:gridSpan w:val="4"/>
            <w:shd w:val="pct5" w:color="auto" w:fill="auto"/>
            <w:tcMar>
              <w:top w:w="29" w:type="dxa"/>
              <w:left w:w="115" w:type="dxa"/>
              <w:bottom w:w="29" w:type="dxa"/>
              <w:right w:w="115" w:type="dxa"/>
            </w:tcMar>
            <w:vAlign w:val="center"/>
          </w:tcPr>
          <w:p w14:paraId="191FF3F0" w14:textId="77777777" w:rsidR="0038613F" w:rsidRPr="0052359B" w:rsidRDefault="0038613F">
            <w:pPr>
              <w:keepNext/>
              <w:suppressLineNumbers/>
              <w:suppressAutoHyphens/>
              <w:kinsoku w:val="0"/>
              <w:overflowPunct w:val="0"/>
              <w:autoSpaceDE w:val="0"/>
              <w:autoSpaceDN w:val="0"/>
              <w:adjustRightInd w:val="0"/>
              <w:snapToGrid w:val="0"/>
              <w:ind w:left="317"/>
              <w:jc w:val="left"/>
              <w:rPr>
                <w:rFonts w:eastAsia="SimSun"/>
                <w:b/>
                <w:kern w:val="22"/>
                <w:szCs w:val="22"/>
              </w:rPr>
            </w:pPr>
            <w:r w:rsidRPr="00A1040E">
              <w:rPr>
                <w:rFonts w:eastAsia="SimSun"/>
                <w:b/>
                <w:kern w:val="22"/>
                <w:szCs w:val="22"/>
              </w:rPr>
              <w:t>Optional additional information</w:t>
            </w:r>
          </w:p>
        </w:tc>
      </w:tr>
      <w:tr w:rsidR="0038613F" w:rsidRPr="00A1040E" w14:paraId="3B2E7599" w14:textId="77777777" w:rsidTr="00EA1A55">
        <w:trPr>
          <w:cantSplit/>
          <w:jc w:val="center"/>
        </w:trPr>
        <w:tc>
          <w:tcPr>
            <w:tcW w:w="5552" w:type="dxa"/>
            <w:shd w:val="clear" w:color="auto" w:fill="auto"/>
            <w:tcMar>
              <w:top w:w="29" w:type="dxa"/>
              <w:left w:w="115" w:type="dxa"/>
              <w:bottom w:w="29" w:type="dxa"/>
              <w:right w:w="115" w:type="dxa"/>
            </w:tcMar>
          </w:tcPr>
          <w:p w14:paraId="53F70822"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55.</w:t>
            </w:r>
            <w:r w:rsidRPr="00A1040E">
              <w:rPr>
                <w:rFonts w:eastAsia="SimSun"/>
                <w:kern w:val="22"/>
                <w:szCs w:val="22"/>
              </w:rPr>
              <w:tab/>
              <w:t>Number and percentage of Parties that established a mechanism for budgetary allocations of funds for the implementation of the Nagoya Protocol</w:t>
            </w:r>
          </w:p>
        </w:tc>
        <w:tc>
          <w:tcPr>
            <w:tcW w:w="1104" w:type="dxa"/>
            <w:shd w:val="clear" w:color="auto" w:fill="auto"/>
            <w:tcMar>
              <w:top w:w="29" w:type="dxa"/>
              <w:left w:w="115" w:type="dxa"/>
              <w:bottom w:w="29" w:type="dxa"/>
              <w:right w:w="115" w:type="dxa"/>
            </w:tcMar>
            <w:vAlign w:val="center"/>
          </w:tcPr>
          <w:p w14:paraId="46FFEB93"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(c)</w:t>
            </w:r>
          </w:p>
        </w:tc>
        <w:tc>
          <w:tcPr>
            <w:tcW w:w="1506" w:type="dxa"/>
            <w:shd w:val="clear" w:color="auto" w:fill="auto"/>
            <w:tcMar>
              <w:top w:w="29" w:type="dxa"/>
              <w:left w:w="115" w:type="dxa"/>
              <w:bottom w:w="29" w:type="dxa"/>
              <w:right w:w="115" w:type="dxa"/>
            </w:tcMar>
            <w:vAlign w:val="center"/>
          </w:tcPr>
          <w:p w14:paraId="62FD3D78" w14:textId="77777777" w:rsidR="0038613F" w:rsidRPr="00A57937" w:rsidRDefault="0038613F">
            <w:pPr>
              <w:suppressLineNumbers/>
              <w:suppressAutoHyphens/>
              <w:kinsoku w:val="0"/>
              <w:overflowPunct w:val="0"/>
              <w:autoSpaceDE w:val="0"/>
              <w:autoSpaceDN w:val="0"/>
              <w:adjustRightInd w:val="0"/>
              <w:snapToGrid w:val="0"/>
              <w:jc w:val="center"/>
              <w:rPr>
                <w:rFonts w:eastAsia="SimSun"/>
                <w:kern w:val="22"/>
                <w:szCs w:val="22"/>
              </w:rPr>
            </w:pPr>
            <w:r w:rsidRPr="00A57937">
              <w:rPr>
                <w:rFonts w:eastAsia="SimSun"/>
                <w:kern w:val="22"/>
                <w:szCs w:val="22"/>
              </w:rPr>
              <w:t>24 (23%)</w:t>
            </w:r>
          </w:p>
        </w:tc>
        <w:tc>
          <w:tcPr>
            <w:tcW w:w="1321" w:type="dxa"/>
            <w:shd w:val="clear" w:color="auto" w:fill="auto"/>
            <w:tcMar>
              <w:top w:w="29" w:type="dxa"/>
              <w:left w:w="115" w:type="dxa"/>
              <w:bottom w:w="29" w:type="dxa"/>
              <w:right w:w="115" w:type="dxa"/>
            </w:tcMar>
            <w:vAlign w:val="center"/>
          </w:tcPr>
          <w:p w14:paraId="282C00FB"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Q.61</w:t>
            </w:r>
          </w:p>
        </w:tc>
      </w:tr>
      <w:tr w:rsidR="0038613F" w:rsidRPr="00A1040E" w14:paraId="556D7D81" w14:textId="77777777" w:rsidTr="00EA1A55">
        <w:trPr>
          <w:cantSplit/>
          <w:jc w:val="center"/>
        </w:trPr>
        <w:tc>
          <w:tcPr>
            <w:tcW w:w="5552" w:type="dxa"/>
            <w:shd w:val="clear" w:color="auto" w:fill="auto"/>
            <w:tcMar>
              <w:top w:w="29" w:type="dxa"/>
              <w:left w:w="115" w:type="dxa"/>
              <w:bottom w:w="29" w:type="dxa"/>
              <w:right w:w="115" w:type="dxa"/>
            </w:tcMar>
          </w:tcPr>
          <w:p w14:paraId="00625550"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56.</w:t>
            </w:r>
            <w:r w:rsidRPr="00A1040E">
              <w:rPr>
                <w:rFonts w:eastAsia="SimSun"/>
                <w:kern w:val="22"/>
                <w:szCs w:val="22"/>
              </w:rPr>
              <w:tab/>
              <w:t xml:space="preserve">Number and percentage of Parties that made financial </w:t>
            </w:r>
            <w:r w:rsidRPr="008964A8">
              <w:rPr>
                <w:rFonts w:eastAsia="SimSun"/>
                <w:kern w:val="22"/>
                <w:szCs w:val="22"/>
              </w:rPr>
              <w:t>resources available to other Parties</w:t>
            </w:r>
          </w:p>
        </w:tc>
        <w:tc>
          <w:tcPr>
            <w:tcW w:w="1104" w:type="dxa"/>
            <w:shd w:val="clear" w:color="auto" w:fill="auto"/>
            <w:tcMar>
              <w:top w:w="29" w:type="dxa"/>
              <w:left w:w="115" w:type="dxa"/>
              <w:bottom w:w="29" w:type="dxa"/>
              <w:right w:w="115" w:type="dxa"/>
            </w:tcMar>
            <w:vAlign w:val="center"/>
          </w:tcPr>
          <w:p w14:paraId="576F92A9"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(c)</w:t>
            </w:r>
          </w:p>
        </w:tc>
        <w:tc>
          <w:tcPr>
            <w:tcW w:w="1506" w:type="dxa"/>
            <w:shd w:val="clear" w:color="auto" w:fill="auto"/>
            <w:tcMar>
              <w:top w:w="29" w:type="dxa"/>
              <w:left w:w="115" w:type="dxa"/>
              <w:bottom w:w="29" w:type="dxa"/>
              <w:right w:w="115" w:type="dxa"/>
            </w:tcMar>
            <w:vAlign w:val="center"/>
          </w:tcPr>
          <w:p w14:paraId="6E5A4ADD" w14:textId="77777777" w:rsidR="0038613F" w:rsidRPr="00A57937" w:rsidRDefault="0038613F">
            <w:pPr>
              <w:suppressLineNumbers/>
              <w:suppressAutoHyphens/>
              <w:kinsoku w:val="0"/>
              <w:overflowPunct w:val="0"/>
              <w:autoSpaceDE w:val="0"/>
              <w:autoSpaceDN w:val="0"/>
              <w:adjustRightInd w:val="0"/>
              <w:snapToGrid w:val="0"/>
              <w:jc w:val="center"/>
              <w:rPr>
                <w:rFonts w:eastAsia="SimSun"/>
                <w:kern w:val="22"/>
                <w:szCs w:val="22"/>
              </w:rPr>
            </w:pPr>
            <w:r w:rsidRPr="00A57937">
              <w:rPr>
                <w:rFonts w:eastAsia="SimSun"/>
                <w:kern w:val="22"/>
                <w:szCs w:val="22"/>
              </w:rPr>
              <w:t>13 (12%)</w:t>
            </w:r>
          </w:p>
        </w:tc>
        <w:tc>
          <w:tcPr>
            <w:tcW w:w="1321" w:type="dxa"/>
            <w:shd w:val="clear" w:color="auto" w:fill="auto"/>
            <w:tcMar>
              <w:top w:w="29" w:type="dxa"/>
              <w:left w:w="115" w:type="dxa"/>
              <w:bottom w:w="29" w:type="dxa"/>
              <w:right w:w="115" w:type="dxa"/>
            </w:tcMar>
            <w:vAlign w:val="center"/>
          </w:tcPr>
          <w:p w14:paraId="18F6F6F9"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Q.62</w:t>
            </w:r>
          </w:p>
        </w:tc>
      </w:tr>
      <w:tr w:rsidR="0038613F" w:rsidRPr="00A1040E" w14:paraId="19FD50D7" w14:textId="77777777" w:rsidTr="00EA1A55">
        <w:trPr>
          <w:cantSplit/>
          <w:jc w:val="center"/>
        </w:trPr>
        <w:tc>
          <w:tcPr>
            <w:tcW w:w="5552" w:type="dxa"/>
            <w:shd w:val="clear" w:color="auto" w:fill="auto"/>
            <w:tcMar>
              <w:top w:w="29" w:type="dxa"/>
              <w:left w:w="115" w:type="dxa"/>
              <w:bottom w:w="29" w:type="dxa"/>
              <w:right w:w="115" w:type="dxa"/>
            </w:tcMar>
          </w:tcPr>
          <w:p w14:paraId="6474AFE7"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57.</w:t>
            </w:r>
            <w:r w:rsidRPr="00A1040E">
              <w:rPr>
                <w:rFonts w:eastAsia="SimSun"/>
                <w:kern w:val="22"/>
                <w:szCs w:val="22"/>
              </w:rPr>
              <w:tab/>
              <w:t>Number and percentage of Parties that received financial resources from other Parties or financial institutions for the purposes of implementation of the Protocol as provided in Article 25</w:t>
            </w:r>
          </w:p>
        </w:tc>
        <w:tc>
          <w:tcPr>
            <w:tcW w:w="1104" w:type="dxa"/>
            <w:shd w:val="clear" w:color="auto" w:fill="auto"/>
            <w:tcMar>
              <w:top w:w="29" w:type="dxa"/>
              <w:left w:w="115" w:type="dxa"/>
              <w:bottom w:w="29" w:type="dxa"/>
              <w:right w:w="115" w:type="dxa"/>
            </w:tcMar>
            <w:vAlign w:val="center"/>
          </w:tcPr>
          <w:p w14:paraId="6B8D1C4A"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(c)</w:t>
            </w:r>
          </w:p>
        </w:tc>
        <w:tc>
          <w:tcPr>
            <w:tcW w:w="1506" w:type="dxa"/>
            <w:shd w:val="clear" w:color="auto" w:fill="auto"/>
            <w:tcMar>
              <w:top w:w="29" w:type="dxa"/>
              <w:left w:w="115" w:type="dxa"/>
              <w:bottom w:w="29" w:type="dxa"/>
              <w:right w:w="115" w:type="dxa"/>
            </w:tcMar>
            <w:vAlign w:val="center"/>
          </w:tcPr>
          <w:p w14:paraId="1F8327E3" w14:textId="77777777" w:rsidR="0038613F" w:rsidRPr="00A57937" w:rsidRDefault="0038613F">
            <w:pPr>
              <w:suppressLineNumbers/>
              <w:suppressAutoHyphens/>
              <w:kinsoku w:val="0"/>
              <w:overflowPunct w:val="0"/>
              <w:autoSpaceDE w:val="0"/>
              <w:autoSpaceDN w:val="0"/>
              <w:adjustRightInd w:val="0"/>
              <w:snapToGrid w:val="0"/>
              <w:jc w:val="center"/>
              <w:rPr>
                <w:rFonts w:eastAsia="SimSun"/>
                <w:kern w:val="22"/>
                <w:szCs w:val="22"/>
              </w:rPr>
            </w:pPr>
            <w:r w:rsidRPr="00A57937">
              <w:rPr>
                <w:rFonts w:eastAsia="SimSun"/>
                <w:kern w:val="22"/>
                <w:szCs w:val="22"/>
              </w:rPr>
              <w:t>35 (33%)</w:t>
            </w:r>
          </w:p>
        </w:tc>
        <w:tc>
          <w:tcPr>
            <w:tcW w:w="1321" w:type="dxa"/>
            <w:shd w:val="clear" w:color="auto" w:fill="auto"/>
            <w:tcMar>
              <w:top w:w="29" w:type="dxa"/>
              <w:left w:w="115" w:type="dxa"/>
              <w:bottom w:w="29" w:type="dxa"/>
              <w:right w:w="115" w:type="dxa"/>
            </w:tcMar>
            <w:vAlign w:val="center"/>
          </w:tcPr>
          <w:p w14:paraId="059E039D"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Q.62</w:t>
            </w:r>
          </w:p>
        </w:tc>
      </w:tr>
      <w:tr w:rsidR="0038613F" w:rsidRPr="00A1040E" w14:paraId="132E4547" w14:textId="77777777" w:rsidTr="00EA1A55">
        <w:trPr>
          <w:cantSplit/>
          <w:jc w:val="center"/>
        </w:trPr>
        <w:tc>
          <w:tcPr>
            <w:tcW w:w="5552" w:type="dxa"/>
            <w:tcBorders>
              <w:bottom w:val="single" w:sz="4" w:space="0" w:color="auto"/>
            </w:tcBorders>
            <w:shd w:val="clear" w:color="auto" w:fill="auto"/>
            <w:tcMar>
              <w:top w:w="29" w:type="dxa"/>
              <w:left w:w="115" w:type="dxa"/>
              <w:bottom w:w="29" w:type="dxa"/>
              <w:right w:w="115" w:type="dxa"/>
            </w:tcMar>
          </w:tcPr>
          <w:p w14:paraId="2613016D"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58.</w:t>
            </w:r>
            <w:r w:rsidRPr="00A1040E">
              <w:rPr>
                <w:rFonts w:eastAsia="SimSun"/>
                <w:kern w:val="22"/>
                <w:szCs w:val="22"/>
              </w:rPr>
              <w:tab/>
              <w:t>Average number of full time staff working to administer functions directly related to the implementation of the Nagoya Protocol in each Party</w:t>
            </w:r>
          </w:p>
        </w:tc>
        <w:tc>
          <w:tcPr>
            <w:tcW w:w="1104" w:type="dxa"/>
            <w:tcBorders>
              <w:bottom w:val="single" w:sz="4" w:space="0" w:color="auto"/>
            </w:tcBorders>
            <w:shd w:val="clear" w:color="auto" w:fill="auto"/>
            <w:tcMar>
              <w:top w:w="29" w:type="dxa"/>
              <w:left w:w="115" w:type="dxa"/>
              <w:bottom w:w="29" w:type="dxa"/>
              <w:right w:w="115" w:type="dxa"/>
            </w:tcMar>
            <w:vAlign w:val="center"/>
          </w:tcPr>
          <w:p w14:paraId="422A8AB7" w14:textId="77777777" w:rsidR="0038613F" w:rsidRPr="00C649EC" w:rsidRDefault="0038613F">
            <w:pPr>
              <w:suppressLineNumbers/>
              <w:suppressAutoHyphens/>
              <w:kinsoku w:val="0"/>
              <w:overflowPunct w:val="0"/>
              <w:autoSpaceDE w:val="0"/>
              <w:autoSpaceDN w:val="0"/>
              <w:adjustRightInd w:val="0"/>
              <w:snapToGrid w:val="0"/>
              <w:jc w:val="center"/>
              <w:rPr>
                <w:rFonts w:eastAsia="Calibri"/>
                <w:kern w:val="22"/>
                <w:szCs w:val="22"/>
              </w:rPr>
            </w:pPr>
            <w:r w:rsidRPr="00C649EC">
              <w:rPr>
                <w:rFonts w:eastAsia="Calibri"/>
                <w:kern w:val="22"/>
                <w:szCs w:val="22"/>
              </w:rPr>
              <w:t>(c)</w:t>
            </w:r>
          </w:p>
        </w:tc>
        <w:tc>
          <w:tcPr>
            <w:tcW w:w="1506" w:type="dxa"/>
            <w:tcBorders>
              <w:bottom w:val="single" w:sz="4" w:space="0" w:color="auto"/>
            </w:tcBorders>
            <w:shd w:val="clear" w:color="auto" w:fill="auto"/>
            <w:tcMar>
              <w:top w:w="29" w:type="dxa"/>
              <w:left w:w="115" w:type="dxa"/>
              <w:bottom w:w="29" w:type="dxa"/>
              <w:right w:w="115" w:type="dxa"/>
            </w:tcMar>
            <w:vAlign w:val="center"/>
          </w:tcPr>
          <w:p w14:paraId="75185955" w14:textId="77777777" w:rsidR="0038613F" w:rsidRPr="00B31519" w:rsidRDefault="0038613F">
            <w:pPr>
              <w:suppressLineNumbers/>
              <w:suppressAutoHyphens/>
              <w:kinsoku w:val="0"/>
              <w:overflowPunct w:val="0"/>
              <w:autoSpaceDE w:val="0"/>
              <w:autoSpaceDN w:val="0"/>
              <w:adjustRightInd w:val="0"/>
              <w:snapToGrid w:val="0"/>
              <w:jc w:val="center"/>
              <w:rPr>
                <w:rFonts w:eastAsia="Calibri"/>
                <w:kern w:val="22"/>
                <w:szCs w:val="22"/>
              </w:rPr>
            </w:pPr>
            <w:r w:rsidRPr="00A57937">
              <w:rPr>
                <w:rFonts w:eastAsia="SimSun"/>
                <w:kern w:val="22"/>
                <w:szCs w:val="22"/>
              </w:rPr>
              <w:t>Not conclusive data</w:t>
            </w:r>
          </w:p>
        </w:tc>
        <w:tc>
          <w:tcPr>
            <w:tcW w:w="1321" w:type="dxa"/>
            <w:tcBorders>
              <w:bottom w:val="single" w:sz="4" w:space="0" w:color="auto"/>
            </w:tcBorders>
            <w:shd w:val="clear" w:color="auto" w:fill="auto"/>
            <w:tcMar>
              <w:top w:w="29" w:type="dxa"/>
              <w:left w:w="115" w:type="dxa"/>
              <w:bottom w:w="29" w:type="dxa"/>
              <w:right w:w="115" w:type="dxa"/>
            </w:tcMar>
            <w:vAlign w:val="center"/>
          </w:tcPr>
          <w:p w14:paraId="4227FD54" w14:textId="77777777" w:rsidR="0038613F" w:rsidRPr="00A1040E" w:rsidRDefault="0038613F">
            <w:pPr>
              <w:suppressLineNumbers/>
              <w:suppressAutoHyphens/>
              <w:kinsoku w:val="0"/>
              <w:overflowPunct w:val="0"/>
              <w:autoSpaceDE w:val="0"/>
              <w:autoSpaceDN w:val="0"/>
              <w:adjustRightInd w:val="0"/>
              <w:snapToGrid w:val="0"/>
              <w:jc w:val="left"/>
              <w:rPr>
                <w:rFonts w:eastAsia="SimSun"/>
                <w:kern w:val="22"/>
                <w:szCs w:val="22"/>
              </w:rPr>
            </w:pPr>
            <w:r w:rsidRPr="00A1040E">
              <w:rPr>
                <w:rFonts w:eastAsia="SimSun"/>
                <w:kern w:val="22"/>
                <w:szCs w:val="22"/>
              </w:rPr>
              <w:t>Q.63- requires revision</w:t>
            </w:r>
          </w:p>
        </w:tc>
      </w:tr>
      <w:tr w:rsidR="0038613F" w:rsidRPr="00A1040E" w14:paraId="1D5F09A1" w14:textId="77777777" w:rsidTr="00EA1A55">
        <w:trPr>
          <w:cantSplit/>
          <w:jc w:val="center"/>
        </w:trPr>
        <w:tc>
          <w:tcPr>
            <w:tcW w:w="9483" w:type="dxa"/>
            <w:gridSpan w:val="4"/>
            <w:shd w:val="pct5" w:color="auto" w:fill="auto"/>
            <w:tcMar>
              <w:top w:w="29" w:type="dxa"/>
              <w:left w:w="115" w:type="dxa"/>
              <w:bottom w:w="29" w:type="dxa"/>
              <w:right w:w="115" w:type="dxa"/>
            </w:tcMar>
            <w:vAlign w:val="center"/>
          </w:tcPr>
          <w:p w14:paraId="71246C63" w14:textId="77777777" w:rsidR="0038613F" w:rsidRPr="0052359B" w:rsidRDefault="0038613F">
            <w:pPr>
              <w:keepNext/>
              <w:suppressLineNumbers/>
              <w:suppressAutoHyphens/>
              <w:kinsoku w:val="0"/>
              <w:overflowPunct w:val="0"/>
              <w:autoSpaceDE w:val="0"/>
              <w:autoSpaceDN w:val="0"/>
              <w:adjustRightInd w:val="0"/>
              <w:snapToGrid w:val="0"/>
              <w:ind w:left="317"/>
              <w:jc w:val="left"/>
              <w:rPr>
                <w:rFonts w:eastAsia="SimSun"/>
                <w:b/>
                <w:kern w:val="22"/>
                <w:szCs w:val="22"/>
              </w:rPr>
            </w:pPr>
            <w:r w:rsidRPr="00A1040E">
              <w:rPr>
                <w:rFonts w:eastAsia="SimSun"/>
                <w:b/>
                <w:kern w:val="22"/>
                <w:szCs w:val="22"/>
              </w:rPr>
              <w:t xml:space="preserve">Implementation and operation of the ABS </w:t>
            </w:r>
            <w:r w:rsidRPr="0052359B">
              <w:rPr>
                <w:rFonts w:eastAsia="SimSun"/>
                <w:b/>
                <w:kern w:val="22"/>
                <w:szCs w:val="22"/>
              </w:rPr>
              <w:t>Clearing-House</w:t>
            </w:r>
          </w:p>
        </w:tc>
      </w:tr>
      <w:tr w:rsidR="0038613F" w:rsidRPr="00A1040E" w14:paraId="6D0866D8" w14:textId="77777777" w:rsidTr="00EA1A55">
        <w:trPr>
          <w:cantSplit/>
          <w:jc w:val="center"/>
        </w:trPr>
        <w:tc>
          <w:tcPr>
            <w:tcW w:w="5552" w:type="dxa"/>
            <w:shd w:val="clear" w:color="auto" w:fill="auto"/>
            <w:tcMar>
              <w:top w:w="29" w:type="dxa"/>
              <w:left w:w="115" w:type="dxa"/>
              <w:bottom w:w="29" w:type="dxa"/>
              <w:right w:w="115" w:type="dxa"/>
            </w:tcMar>
          </w:tcPr>
          <w:p w14:paraId="62011C1C"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59.</w:t>
            </w:r>
            <w:r w:rsidRPr="00A1040E">
              <w:rPr>
                <w:rFonts w:eastAsia="SimSun"/>
                <w:kern w:val="22"/>
                <w:szCs w:val="22"/>
              </w:rPr>
              <w:tab/>
              <w:t>Number of non-Parties that have published national information (ABS measures, CNAs or checkpoints) in the ABS Clearing-House</w:t>
            </w:r>
          </w:p>
        </w:tc>
        <w:tc>
          <w:tcPr>
            <w:tcW w:w="1104" w:type="dxa"/>
            <w:shd w:val="clear" w:color="auto" w:fill="auto"/>
            <w:tcMar>
              <w:top w:w="29" w:type="dxa"/>
              <w:left w:w="115" w:type="dxa"/>
              <w:bottom w:w="29" w:type="dxa"/>
              <w:right w:w="115" w:type="dxa"/>
            </w:tcMar>
            <w:vAlign w:val="center"/>
          </w:tcPr>
          <w:p w14:paraId="5FA047F8" w14:textId="77777777" w:rsidR="0038613F" w:rsidRPr="00C649EC" w:rsidRDefault="0038613F">
            <w:pPr>
              <w:suppressLineNumbers/>
              <w:suppressAutoHyphens/>
              <w:kinsoku w:val="0"/>
              <w:overflowPunct w:val="0"/>
              <w:autoSpaceDE w:val="0"/>
              <w:autoSpaceDN w:val="0"/>
              <w:adjustRightInd w:val="0"/>
              <w:snapToGrid w:val="0"/>
              <w:jc w:val="center"/>
              <w:rPr>
                <w:rFonts w:eastAsia="Malgun Gothic"/>
                <w:kern w:val="22"/>
                <w:szCs w:val="22"/>
              </w:rPr>
            </w:pPr>
            <w:r w:rsidRPr="00C649EC">
              <w:rPr>
                <w:rFonts w:eastAsia="Malgun Gothic"/>
                <w:kern w:val="22"/>
                <w:szCs w:val="22"/>
              </w:rPr>
              <w:t>(g)</w:t>
            </w:r>
          </w:p>
        </w:tc>
        <w:tc>
          <w:tcPr>
            <w:tcW w:w="1506" w:type="dxa"/>
            <w:shd w:val="clear" w:color="auto" w:fill="auto"/>
            <w:tcMar>
              <w:top w:w="29" w:type="dxa"/>
              <w:left w:w="115" w:type="dxa"/>
              <w:bottom w:w="29" w:type="dxa"/>
              <w:right w:w="115" w:type="dxa"/>
            </w:tcMar>
            <w:vAlign w:val="center"/>
          </w:tcPr>
          <w:p w14:paraId="22F5E138" w14:textId="77777777" w:rsidR="0038613F" w:rsidRPr="00A57937" w:rsidRDefault="0038613F">
            <w:pPr>
              <w:suppressLineNumbers/>
              <w:suppressAutoHyphens/>
              <w:kinsoku w:val="0"/>
              <w:overflowPunct w:val="0"/>
              <w:autoSpaceDE w:val="0"/>
              <w:autoSpaceDN w:val="0"/>
              <w:adjustRightInd w:val="0"/>
              <w:snapToGrid w:val="0"/>
              <w:jc w:val="center"/>
              <w:rPr>
                <w:rFonts w:eastAsia="Malgun Gothic"/>
                <w:kern w:val="22"/>
                <w:szCs w:val="22"/>
              </w:rPr>
            </w:pPr>
            <w:r w:rsidRPr="00A57937">
              <w:rPr>
                <w:rFonts w:eastAsia="Malgun Gothic"/>
                <w:kern w:val="22"/>
                <w:szCs w:val="22"/>
              </w:rPr>
              <w:t>8</w:t>
            </w:r>
          </w:p>
        </w:tc>
        <w:tc>
          <w:tcPr>
            <w:tcW w:w="1321" w:type="dxa"/>
            <w:shd w:val="clear" w:color="auto" w:fill="auto"/>
            <w:tcMar>
              <w:top w:w="29" w:type="dxa"/>
              <w:left w:w="115" w:type="dxa"/>
              <w:bottom w:w="29" w:type="dxa"/>
              <w:right w:w="115" w:type="dxa"/>
            </w:tcMar>
            <w:vAlign w:val="center"/>
          </w:tcPr>
          <w:p w14:paraId="4DCDD8F1" w14:textId="77777777" w:rsidR="0038613F" w:rsidRPr="00B31519" w:rsidRDefault="0038613F">
            <w:pPr>
              <w:suppressLineNumbers/>
              <w:suppressAutoHyphens/>
              <w:kinsoku w:val="0"/>
              <w:overflowPunct w:val="0"/>
              <w:autoSpaceDE w:val="0"/>
              <w:autoSpaceDN w:val="0"/>
              <w:adjustRightInd w:val="0"/>
              <w:snapToGrid w:val="0"/>
              <w:jc w:val="left"/>
              <w:rPr>
                <w:rFonts w:eastAsia="SimSun"/>
                <w:kern w:val="22"/>
                <w:szCs w:val="22"/>
              </w:rPr>
            </w:pPr>
            <w:r w:rsidRPr="00B31519">
              <w:rPr>
                <w:rFonts w:eastAsia="SimSun"/>
                <w:kern w:val="22"/>
                <w:szCs w:val="22"/>
              </w:rPr>
              <w:t>ABS-CH</w:t>
            </w:r>
          </w:p>
        </w:tc>
      </w:tr>
      <w:tr w:rsidR="0038613F" w:rsidRPr="00A1040E" w14:paraId="6F29E79A" w14:textId="77777777" w:rsidTr="00EA1A55">
        <w:trPr>
          <w:cantSplit/>
          <w:jc w:val="center"/>
        </w:trPr>
        <w:tc>
          <w:tcPr>
            <w:tcW w:w="5552"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765E6FBD" w14:textId="77777777" w:rsidR="0038613F" w:rsidRPr="008964A8" w:rsidRDefault="0038613F">
            <w:pPr>
              <w:suppressLineNumbers/>
              <w:suppressAutoHyphens/>
              <w:kinsoku w:val="0"/>
              <w:overflowPunct w:val="0"/>
              <w:autoSpaceDE w:val="0"/>
              <w:autoSpaceDN w:val="0"/>
              <w:adjustRightInd w:val="0"/>
              <w:snapToGrid w:val="0"/>
              <w:ind w:left="314" w:hanging="360"/>
              <w:rPr>
                <w:rFonts w:eastAsia="SimSun"/>
                <w:kern w:val="22"/>
                <w:szCs w:val="22"/>
              </w:rPr>
            </w:pPr>
            <w:r w:rsidRPr="00A1040E">
              <w:rPr>
                <w:rFonts w:eastAsia="SimSun"/>
                <w:kern w:val="22"/>
                <w:szCs w:val="22"/>
              </w:rPr>
              <w:t>60.</w:t>
            </w:r>
            <w:r w:rsidRPr="00A1040E">
              <w:rPr>
                <w:rFonts w:eastAsia="SimSun"/>
                <w:kern w:val="22"/>
                <w:szCs w:val="22"/>
              </w:rPr>
              <w:tab/>
              <w:t>The number of visitor to the ABS Clearing-House per year</w:t>
            </w:r>
          </w:p>
        </w:tc>
        <w:tc>
          <w:tcPr>
            <w:tcW w:w="1104"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14:paraId="1FF1AEDB" w14:textId="77777777" w:rsidR="0038613F" w:rsidRPr="00C649EC" w:rsidRDefault="0038613F">
            <w:pPr>
              <w:suppressLineNumbers/>
              <w:suppressAutoHyphens/>
              <w:kinsoku w:val="0"/>
              <w:overflowPunct w:val="0"/>
              <w:autoSpaceDE w:val="0"/>
              <w:autoSpaceDN w:val="0"/>
              <w:adjustRightInd w:val="0"/>
              <w:snapToGrid w:val="0"/>
              <w:jc w:val="center"/>
              <w:rPr>
                <w:rFonts w:eastAsia="Malgun Gothic"/>
                <w:kern w:val="22"/>
                <w:szCs w:val="22"/>
              </w:rPr>
            </w:pPr>
            <w:r w:rsidRPr="00C649EC">
              <w:rPr>
                <w:rFonts w:eastAsia="Malgun Gothic"/>
                <w:kern w:val="22"/>
                <w:szCs w:val="22"/>
              </w:rPr>
              <w:t>(g)</w:t>
            </w:r>
          </w:p>
        </w:tc>
        <w:tc>
          <w:tcPr>
            <w:tcW w:w="1506"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14:paraId="15CDD184" w14:textId="77777777" w:rsidR="0038613F" w:rsidRPr="00A57937" w:rsidRDefault="0038613F">
            <w:pPr>
              <w:suppressLineNumbers/>
              <w:suppressAutoHyphens/>
              <w:kinsoku w:val="0"/>
              <w:overflowPunct w:val="0"/>
              <w:autoSpaceDE w:val="0"/>
              <w:autoSpaceDN w:val="0"/>
              <w:adjustRightInd w:val="0"/>
              <w:snapToGrid w:val="0"/>
              <w:jc w:val="center"/>
              <w:rPr>
                <w:rFonts w:eastAsia="Malgun Gothic"/>
                <w:kern w:val="22"/>
                <w:szCs w:val="22"/>
              </w:rPr>
            </w:pPr>
            <w:r w:rsidRPr="00A57937">
              <w:rPr>
                <w:rFonts w:eastAsia="Malgun Gothic"/>
                <w:kern w:val="22"/>
                <w:szCs w:val="22"/>
              </w:rPr>
              <w:t>18,709 visitors</w:t>
            </w:r>
          </w:p>
          <w:p w14:paraId="13EB7326" w14:textId="77777777" w:rsidR="0038613F" w:rsidRPr="00B31519" w:rsidRDefault="0038613F">
            <w:pPr>
              <w:suppressLineNumbers/>
              <w:suppressAutoHyphens/>
              <w:kinsoku w:val="0"/>
              <w:overflowPunct w:val="0"/>
              <w:autoSpaceDE w:val="0"/>
              <w:autoSpaceDN w:val="0"/>
              <w:adjustRightInd w:val="0"/>
              <w:snapToGrid w:val="0"/>
              <w:jc w:val="center"/>
              <w:rPr>
                <w:rFonts w:eastAsia="Malgun Gothic"/>
                <w:kern w:val="22"/>
                <w:szCs w:val="22"/>
              </w:rPr>
            </w:pPr>
            <w:r w:rsidRPr="00B31519">
              <w:rPr>
                <w:rFonts w:eastAsia="Malgun Gothic"/>
                <w:kern w:val="22"/>
                <w:szCs w:val="22"/>
              </w:rPr>
              <w:t>(as of 22 March 2018)</w:t>
            </w:r>
          </w:p>
        </w:tc>
        <w:tc>
          <w:tcPr>
            <w:tcW w:w="1321" w:type="dxa"/>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vAlign w:val="center"/>
          </w:tcPr>
          <w:p w14:paraId="4AAD2324" w14:textId="77777777" w:rsidR="0038613F" w:rsidRPr="00A1040E" w:rsidRDefault="0038613F">
            <w:pPr>
              <w:suppressLineNumbers/>
              <w:suppressAutoHyphens/>
              <w:kinsoku w:val="0"/>
              <w:overflowPunct w:val="0"/>
              <w:autoSpaceDE w:val="0"/>
              <w:autoSpaceDN w:val="0"/>
              <w:adjustRightInd w:val="0"/>
              <w:snapToGrid w:val="0"/>
              <w:jc w:val="left"/>
              <w:rPr>
                <w:rFonts w:eastAsia="SimSun"/>
                <w:kern w:val="22"/>
                <w:szCs w:val="22"/>
              </w:rPr>
            </w:pPr>
            <w:r w:rsidRPr="00A1040E">
              <w:rPr>
                <w:rFonts w:eastAsia="SimSun"/>
                <w:kern w:val="22"/>
                <w:szCs w:val="22"/>
              </w:rPr>
              <w:t>Google analytics</w:t>
            </w:r>
          </w:p>
        </w:tc>
      </w:tr>
    </w:tbl>
    <w:p w14:paraId="35A702BF" w14:textId="77777777" w:rsidR="0038613F" w:rsidRPr="00A1040E" w:rsidRDefault="0038613F">
      <w:pPr>
        <w:suppressLineNumbers/>
        <w:suppressAutoHyphens/>
        <w:kinsoku w:val="0"/>
        <w:overflowPunct w:val="0"/>
        <w:autoSpaceDE w:val="0"/>
        <w:autoSpaceDN w:val="0"/>
        <w:adjustRightInd w:val="0"/>
        <w:snapToGrid w:val="0"/>
        <w:jc w:val="center"/>
        <w:rPr>
          <w:rFonts w:eastAsia="Malgun Gothic"/>
          <w:kern w:val="22"/>
          <w:szCs w:val="22"/>
        </w:rPr>
      </w:pPr>
    </w:p>
    <w:p w14:paraId="02531827" w14:textId="5A16D794" w:rsidR="00C9161D" w:rsidRPr="000346A8" w:rsidRDefault="00C9161D">
      <w:pPr>
        <w:jc w:val="center"/>
        <w:rPr>
          <w:kern w:val="22"/>
          <w:szCs w:val="22"/>
        </w:rPr>
      </w:pPr>
      <w:r w:rsidRPr="000346A8">
        <w:rPr>
          <w:kern w:val="22"/>
          <w:szCs w:val="22"/>
        </w:rPr>
        <w:t>______</w:t>
      </w:r>
      <w:r w:rsidR="00A352A5" w:rsidRPr="000346A8">
        <w:rPr>
          <w:kern w:val="22"/>
          <w:szCs w:val="22"/>
        </w:rPr>
        <w:t>____</w:t>
      </w:r>
    </w:p>
    <w:p w14:paraId="48D24824" w14:textId="15D5F5F3" w:rsidR="00B3369F" w:rsidRPr="000346A8" w:rsidRDefault="00B3369F">
      <w:pPr>
        <w:jc w:val="center"/>
        <w:rPr>
          <w:kern w:val="22"/>
          <w:szCs w:val="22"/>
        </w:rPr>
      </w:pPr>
    </w:p>
    <w:sectPr w:rsidR="00B3369F" w:rsidRPr="000346A8"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58E30" w14:textId="77777777" w:rsidR="00993A9A" w:rsidRDefault="00993A9A" w:rsidP="00CF1848">
      <w:r>
        <w:separator/>
      </w:r>
    </w:p>
  </w:endnote>
  <w:endnote w:type="continuationSeparator" w:id="0">
    <w:p w14:paraId="0B66B762" w14:textId="77777777" w:rsidR="00993A9A" w:rsidRDefault="00993A9A"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527BD" w14:textId="77777777" w:rsidR="00993A9A" w:rsidRDefault="00993A9A" w:rsidP="00CF1848">
      <w:r>
        <w:separator/>
      </w:r>
    </w:p>
  </w:footnote>
  <w:footnote w:type="continuationSeparator" w:id="0">
    <w:p w14:paraId="649F05D9" w14:textId="77777777" w:rsidR="00993A9A" w:rsidRDefault="00993A9A" w:rsidP="00CF1848">
      <w:r>
        <w:continuationSeparator/>
      </w:r>
    </w:p>
  </w:footnote>
  <w:footnote w:id="1">
    <w:p w14:paraId="7532A854" w14:textId="5B18CF9A" w:rsidR="00993A9A" w:rsidRPr="000346A8" w:rsidRDefault="00993A9A" w:rsidP="000346A8">
      <w:pPr>
        <w:pStyle w:val="FootnoteText"/>
        <w:suppressLineNumbers/>
        <w:suppressAutoHyphens/>
        <w:ind w:firstLine="0"/>
        <w:jc w:val="left"/>
        <w:rPr>
          <w:kern w:val="18"/>
          <w:szCs w:val="18"/>
        </w:rPr>
      </w:pPr>
      <w:r w:rsidRPr="000346A8">
        <w:rPr>
          <w:rStyle w:val="FootnoteReference"/>
          <w:kern w:val="18"/>
          <w:sz w:val="18"/>
          <w:szCs w:val="18"/>
        </w:rPr>
        <w:footnoteRef/>
      </w:r>
      <w:r w:rsidRPr="000346A8">
        <w:rPr>
          <w:kern w:val="18"/>
          <w:szCs w:val="18"/>
        </w:rPr>
        <w:t xml:space="preserve"> These may include community biocultural protocols.</w:t>
      </w:r>
    </w:p>
  </w:footnote>
  <w:footnote w:id="2">
    <w:p w14:paraId="085D28D3" w14:textId="77777777" w:rsidR="00993A9A" w:rsidRPr="00D0133C" w:rsidRDefault="00993A9A" w:rsidP="000346A8">
      <w:pPr>
        <w:pStyle w:val="FootnoteText"/>
        <w:suppressLineNumbers/>
        <w:suppressAutoHyphens/>
        <w:ind w:firstLine="0"/>
        <w:jc w:val="left"/>
        <w:rPr>
          <w:kern w:val="18"/>
          <w:szCs w:val="18"/>
        </w:rPr>
      </w:pPr>
      <w:r w:rsidRPr="000346A8">
        <w:rPr>
          <w:rStyle w:val="FootnoteReference"/>
          <w:rFonts w:eastAsia="DengXian Light"/>
          <w:kern w:val="18"/>
          <w:sz w:val="18"/>
          <w:szCs w:val="18"/>
        </w:rPr>
        <w:footnoteRef/>
      </w:r>
      <w:r w:rsidRPr="00B60F4A">
        <w:rPr>
          <w:kern w:val="18"/>
          <w:szCs w:val="18"/>
        </w:rPr>
        <w:t xml:space="preserve"> CBD/NP/MOP/3/3.</w:t>
      </w:r>
    </w:p>
  </w:footnote>
  <w:footnote w:id="3">
    <w:p w14:paraId="08E2AA56" w14:textId="77777777" w:rsidR="00993A9A" w:rsidRPr="00D0133C" w:rsidRDefault="00993A9A" w:rsidP="00B60F4A">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B60F4A">
        <w:rPr>
          <w:snapToGrid w:val="0"/>
          <w:kern w:val="18"/>
          <w:szCs w:val="18"/>
          <w:vertAlign w:val="superscript"/>
        </w:rPr>
        <w:footnoteRef/>
      </w:r>
      <w:r w:rsidRPr="00B60F4A">
        <w:rPr>
          <w:snapToGrid w:val="0"/>
          <w:kern w:val="18"/>
          <w:szCs w:val="18"/>
        </w:rPr>
        <w:t xml:space="preserve"> For example, “African Union Practical Guidelines for the Coordinated Implementation of the Nagoya Protocol in Africa” (African Union, 2015).</w:t>
      </w:r>
    </w:p>
  </w:footnote>
  <w:footnote w:id="4">
    <w:p w14:paraId="7AAD5AF6" w14:textId="77777777" w:rsidR="00993A9A" w:rsidRPr="00D0133C" w:rsidRDefault="00993A9A" w:rsidP="00B60F4A">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0346A8">
        <w:rPr>
          <w:rStyle w:val="FootnoteReference"/>
          <w:rFonts w:eastAsia="DengXian Light"/>
          <w:snapToGrid w:val="0"/>
          <w:kern w:val="18"/>
          <w:sz w:val="18"/>
          <w:szCs w:val="18"/>
        </w:rPr>
        <w:footnoteRef/>
      </w:r>
      <w:r w:rsidRPr="00B60F4A">
        <w:rPr>
          <w:snapToGrid w:val="0"/>
          <w:kern w:val="18"/>
          <w:szCs w:val="18"/>
        </w:rPr>
        <w:t xml:space="preserve"> </w:t>
      </w:r>
      <w:r w:rsidRPr="00D0133C">
        <w:rPr>
          <w:snapToGrid w:val="0"/>
          <w:kern w:val="18"/>
          <w:szCs w:val="18"/>
        </w:rPr>
        <w:t>For example “Compilation of views received on use of the term ‘indigenous peoples and local communities’” (</w:t>
      </w:r>
      <w:hyperlink r:id="rId1" w:history="1">
        <w:r w:rsidRPr="000346A8">
          <w:rPr>
            <w:rStyle w:val="Hyperlink"/>
            <w:snapToGrid w:val="0"/>
            <w:color w:val="0070C0"/>
            <w:kern w:val="18"/>
            <w:szCs w:val="18"/>
          </w:rPr>
          <w:t>UNEP/CBD/WG8J/8/INF/10/Add.1</w:t>
        </w:r>
      </w:hyperlink>
      <w:r w:rsidRPr="00B60F4A">
        <w:rPr>
          <w:snapToGrid w:val="0"/>
          <w:kern w:val="18"/>
          <w:szCs w:val="18"/>
        </w:rPr>
        <w:t>).</w:t>
      </w:r>
    </w:p>
  </w:footnote>
  <w:footnote w:id="5">
    <w:p w14:paraId="678798A2" w14:textId="52DB6D86" w:rsidR="00993A9A" w:rsidRPr="001E13D1" w:rsidRDefault="00993A9A" w:rsidP="00B60F4A">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0346A8">
        <w:rPr>
          <w:rStyle w:val="FootnoteReference"/>
          <w:rFonts w:eastAsia="DengXian Light"/>
          <w:snapToGrid w:val="0"/>
          <w:kern w:val="18"/>
          <w:sz w:val="18"/>
          <w:szCs w:val="18"/>
        </w:rPr>
        <w:footnoteRef/>
      </w:r>
      <w:r w:rsidRPr="00B60F4A">
        <w:rPr>
          <w:snapToGrid w:val="0"/>
          <w:kern w:val="18"/>
          <w:szCs w:val="18"/>
        </w:rPr>
        <w:t xml:space="preserve"> </w:t>
      </w:r>
      <w:r w:rsidRPr="00D0133C">
        <w:rPr>
          <w:snapToGrid w:val="0"/>
          <w:kern w:val="18"/>
          <w:szCs w:val="18"/>
        </w:rPr>
        <w:t>For example</w:t>
      </w:r>
      <w:r w:rsidR="00C649EC">
        <w:rPr>
          <w:snapToGrid w:val="0"/>
          <w:kern w:val="18"/>
          <w:szCs w:val="18"/>
        </w:rPr>
        <w:t>,</w:t>
      </w:r>
      <w:r w:rsidRPr="00D0133C">
        <w:rPr>
          <w:snapToGrid w:val="0"/>
          <w:kern w:val="18"/>
          <w:szCs w:val="18"/>
        </w:rPr>
        <w:t xml:space="preserve"> “ABS Elements: Elements to Facilitate Domestic Implementation of Access and Benefit-sharing for Different Subsectors of Ge</w:t>
      </w:r>
      <w:r w:rsidRPr="00CF5E97">
        <w:rPr>
          <w:snapToGrid w:val="0"/>
          <w:kern w:val="18"/>
          <w:szCs w:val="18"/>
        </w:rPr>
        <w:t>netic Resources for Food and Agriculture” (Food and Agriculture Organization of the United Nations, 2016</w:t>
      </w:r>
      <w:r w:rsidRPr="001E13D1">
        <w:rPr>
          <w:snapToGrid w:val="0"/>
          <w:kern w:val="18"/>
          <w:szCs w:val="18"/>
        </w:rPr>
        <w:t>).</w:t>
      </w:r>
    </w:p>
  </w:footnote>
  <w:footnote w:id="6">
    <w:p w14:paraId="57F77610" w14:textId="77777777" w:rsidR="00993A9A" w:rsidRPr="00C649EC" w:rsidRDefault="00993A9A" w:rsidP="00D0133C">
      <w:pPr>
        <w:pStyle w:val="FootnoteText"/>
        <w:suppressLineNumbers/>
        <w:suppressAutoHyphens/>
        <w:kinsoku w:val="0"/>
        <w:overflowPunct w:val="0"/>
        <w:autoSpaceDE w:val="0"/>
        <w:autoSpaceDN w:val="0"/>
        <w:adjustRightInd w:val="0"/>
        <w:snapToGrid w:val="0"/>
        <w:ind w:firstLine="0"/>
        <w:jc w:val="left"/>
        <w:rPr>
          <w:snapToGrid w:val="0"/>
          <w:kern w:val="18"/>
          <w:szCs w:val="18"/>
        </w:rPr>
      </w:pPr>
      <w:r w:rsidRPr="000346A8">
        <w:rPr>
          <w:rStyle w:val="FootnoteReference"/>
          <w:rFonts w:eastAsia="DengXian Light"/>
          <w:snapToGrid w:val="0"/>
          <w:kern w:val="18"/>
          <w:sz w:val="18"/>
          <w:szCs w:val="18"/>
        </w:rPr>
        <w:footnoteRef/>
      </w:r>
      <w:r w:rsidRPr="00B60F4A">
        <w:rPr>
          <w:snapToGrid w:val="0"/>
          <w:kern w:val="18"/>
          <w:szCs w:val="18"/>
        </w:rPr>
        <w:t xml:space="preserve"> Mo’otz Kuxtal voluntary guidelines for the development of mechanisms, legislation or other appropriate initiatives to ensure the “prior and informe</w:t>
      </w:r>
      <w:r w:rsidRPr="00D0133C">
        <w:rPr>
          <w:snapToGrid w:val="0"/>
          <w:kern w:val="18"/>
          <w:szCs w:val="18"/>
        </w:rPr>
        <w:t>d consent”, “free, prior and informed consent” or “approval and involvement”, depending on national circumstances, of indigenous peoples and local communities for accessing their knowledge, innovations and practices, for fair and equitable sharing of benef</w:t>
      </w:r>
      <w:r w:rsidRPr="008964A8">
        <w:rPr>
          <w:snapToGrid w:val="0"/>
          <w:kern w:val="18"/>
          <w:szCs w:val="18"/>
        </w:rPr>
        <w:t>its arising from the use of their knowledge, innovations and practices relevant for the conservation and sustainable use of biological diversity, and for reporting and preventing unlawful appropriation o</w:t>
      </w:r>
      <w:r w:rsidRPr="00C649EC">
        <w:rPr>
          <w:snapToGrid w:val="0"/>
          <w:kern w:val="18"/>
          <w:szCs w:val="18"/>
        </w:rPr>
        <w:t>f traditional knowledge.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szCs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7849EF37" w:rsidR="00993A9A" w:rsidRPr="00CF5E97" w:rsidRDefault="00520A51" w:rsidP="00D72247">
        <w:pPr>
          <w:pStyle w:val="Header"/>
          <w:tabs>
            <w:tab w:val="clear" w:pos="4320"/>
            <w:tab w:val="clear" w:pos="8640"/>
          </w:tabs>
          <w:jc w:val="left"/>
          <w:rPr>
            <w:noProof/>
            <w:kern w:val="22"/>
            <w:szCs w:val="22"/>
          </w:rPr>
        </w:pPr>
        <w:r>
          <w:rPr>
            <w:noProof/>
            <w:kern w:val="22"/>
            <w:szCs w:val="22"/>
          </w:rPr>
          <w:t>CBD/NP/MOP/DEC/3/1</w:t>
        </w:r>
      </w:p>
    </w:sdtContent>
  </w:sdt>
  <w:p w14:paraId="57597240" w14:textId="157F9007" w:rsidR="00993A9A" w:rsidRPr="00CF5E97" w:rsidRDefault="00993A9A" w:rsidP="00D72247">
    <w:pPr>
      <w:pStyle w:val="Header"/>
      <w:tabs>
        <w:tab w:val="clear" w:pos="4320"/>
        <w:tab w:val="clear" w:pos="8640"/>
      </w:tabs>
      <w:jc w:val="left"/>
      <w:rPr>
        <w:noProof/>
        <w:kern w:val="22"/>
        <w:szCs w:val="22"/>
      </w:rPr>
    </w:pPr>
    <w:r w:rsidRPr="00CF5E97">
      <w:rPr>
        <w:noProof/>
        <w:kern w:val="22"/>
        <w:szCs w:val="22"/>
      </w:rPr>
      <w:t xml:space="preserve">Page </w:t>
    </w:r>
    <w:r w:rsidRPr="000346A8">
      <w:rPr>
        <w:noProof/>
        <w:kern w:val="22"/>
        <w:szCs w:val="22"/>
      </w:rPr>
      <w:fldChar w:fldCharType="begin"/>
    </w:r>
    <w:r w:rsidRPr="00CF5E97">
      <w:rPr>
        <w:noProof/>
        <w:kern w:val="22"/>
        <w:szCs w:val="22"/>
      </w:rPr>
      <w:instrText xml:space="preserve"> PAGE   \* MERGEFORMAT </w:instrText>
    </w:r>
    <w:r w:rsidRPr="000346A8">
      <w:rPr>
        <w:noProof/>
        <w:kern w:val="22"/>
        <w:szCs w:val="22"/>
      </w:rPr>
      <w:fldChar w:fldCharType="separate"/>
    </w:r>
    <w:r w:rsidRPr="00CF5E97">
      <w:rPr>
        <w:noProof/>
        <w:kern w:val="22"/>
        <w:szCs w:val="22"/>
      </w:rPr>
      <w:t>4</w:t>
    </w:r>
    <w:r w:rsidRPr="000346A8">
      <w:rPr>
        <w:noProof/>
        <w:kern w:val="22"/>
        <w:szCs w:val="22"/>
      </w:rPr>
      <w:fldChar w:fldCharType="end"/>
    </w:r>
  </w:p>
  <w:p w14:paraId="1D80EB20" w14:textId="77777777" w:rsidR="00993A9A" w:rsidRPr="00CF5E97" w:rsidRDefault="00993A9A" w:rsidP="00D72247">
    <w:pPr>
      <w:pStyle w:val="Header"/>
      <w:tabs>
        <w:tab w:val="clear" w:pos="4320"/>
        <w:tab w:val="clear" w:pos="8640"/>
      </w:tabs>
      <w:jc w:val="left"/>
      <w:rPr>
        <w:noProof/>
        <w:kern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727BFE70" w:rsidR="00993A9A" w:rsidRPr="001E13D1" w:rsidRDefault="00520A51" w:rsidP="001E13D1">
        <w:pPr>
          <w:pStyle w:val="Header"/>
          <w:tabs>
            <w:tab w:val="clear" w:pos="4320"/>
            <w:tab w:val="clear" w:pos="8640"/>
          </w:tabs>
          <w:jc w:val="right"/>
          <w:rPr>
            <w:noProof/>
            <w:kern w:val="22"/>
          </w:rPr>
        </w:pPr>
        <w:r>
          <w:rPr>
            <w:noProof/>
            <w:kern w:val="22"/>
          </w:rPr>
          <w:t>CBD/NP/MOP/DEC/3/1</w:t>
        </w:r>
      </w:p>
    </w:sdtContent>
  </w:sdt>
  <w:p w14:paraId="7E9B8683" w14:textId="792D8C86" w:rsidR="00993A9A" w:rsidRPr="001E13D1" w:rsidRDefault="00993A9A" w:rsidP="001E13D1">
    <w:pPr>
      <w:pStyle w:val="Header"/>
      <w:tabs>
        <w:tab w:val="clear" w:pos="4320"/>
        <w:tab w:val="clear" w:pos="8640"/>
      </w:tabs>
      <w:jc w:val="right"/>
      <w:rPr>
        <w:noProof/>
        <w:kern w:val="22"/>
      </w:rPr>
    </w:pPr>
    <w:r w:rsidRPr="001E13D1">
      <w:rPr>
        <w:noProof/>
        <w:kern w:val="22"/>
      </w:rPr>
      <w:t xml:space="preserve">Page </w:t>
    </w:r>
    <w:r w:rsidRPr="000346A8">
      <w:rPr>
        <w:noProof/>
        <w:kern w:val="22"/>
      </w:rPr>
      <w:fldChar w:fldCharType="begin"/>
    </w:r>
    <w:r w:rsidRPr="001E13D1">
      <w:rPr>
        <w:noProof/>
        <w:kern w:val="22"/>
      </w:rPr>
      <w:instrText xml:space="preserve"> PAGE   \* MERGEFORMAT </w:instrText>
    </w:r>
    <w:r w:rsidRPr="000346A8">
      <w:rPr>
        <w:noProof/>
        <w:kern w:val="22"/>
      </w:rPr>
      <w:fldChar w:fldCharType="separate"/>
    </w:r>
    <w:r w:rsidRPr="001E13D1">
      <w:rPr>
        <w:noProof/>
        <w:kern w:val="22"/>
      </w:rPr>
      <w:t>3</w:t>
    </w:r>
    <w:r w:rsidRPr="000346A8">
      <w:rPr>
        <w:noProof/>
        <w:kern w:val="22"/>
      </w:rPr>
      <w:fldChar w:fldCharType="end"/>
    </w:r>
  </w:p>
  <w:p w14:paraId="2F845650" w14:textId="77777777" w:rsidR="00993A9A" w:rsidRPr="001E13D1" w:rsidRDefault="00993A9A" w:rsidP="001E13D1">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E7812FA"/>
    <w:multiLevelType w:val="hybridMultilevel"/>
    <w:tmpl w:val="1B363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GB" w:vendorID="64" w:dllVersion="0" w:nlCheck="1" w:checkStyle="0"/>
  <w:activeWritingStyle w:appName="MSWord" w:lang="en-CA" w:vendorID="64" w:dllVersion="0" w:nlCheck="1" w:checkStyle="0"/>
  <w:activeWritingStyle w:appName="MSWord" w:lang="fr-FR" w:vendorID="64" w:dllVersion="0" w:nlCheck="1" w:checkStyle="0"/>
  <w:activeWritingStyle w:appName="MSWord" w:lang="en-US" w:vendorID="64" w:dllVersion="6" w:nlCheck="1" w:checkStyle="1"/>
  <w:activeWritingStyle w:appName="MSWord" w:lang="en-US" w:vendorID="64" w:dllVersion="0" w:nlCheck="1" w:checkStyle="0"/>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5932"/>
    <w:rsid w:val="00013080"/>
    <w:rsid w:val="000270D5"/>
    <w:rsid w:val="00031C1C"/>
    <w:rsid w:val="000346A8"/>
    <w:rsid w:val="000362DE"/>
    <w:rsid w:val="00066FE9"/>
    <w:rsid w:val="000C288D"/>
    <w:rsid w:val="000D5C5D"/>
    <w:rsid w:val="000E673A"/>
    <w:rsid w:val="000F083F"/>
    <w:rsid w:val="000F74F5"/>
    <w:rsid w:val="00105372"/>
    <w:rsid w:val="00106EAB"/>
    <w:rsid w:val="00120DBE"/>
    <w:rsid w:val="00131E7A"/>
    <w:rsid w:val="00153886"/>
    <w:rsid w:val="00164138"/>
    <w:rsid w:val="001648BB"/>
    <w:rsid w:val="00172AF6"/>
    <w:rsid w:val="00176CEE"/>
    <w:rsid w:val="00195F53"/>
    <w:rsid w:val="001964A3"/>
    <w:rsid w:val="001A21A8"/>
    <w:rsid w:val="001A2659"/>
    <w:rsid w:val="001E13D1"/>
    <w:rsid w:val="00225860"/>
    <w:rsid w:val="00285B3A"/>
    <w:rsid w:val="002A7AAD"/>
    <w:rsid w:val="00347B28"/>
    <w:rsid w:val="00367A1E"/>
    <w:rsid w:val="00372F74"/>
    <w:rsid w:val="003807D2"/>
    <w:rsid w:val="0038613F"/>
    <w:rsid w:val="00386380"/>
    <w:rsid w:val="003B503B"/>
    <w:rsid w:val="003C7556"/>
    <w:rsid w:val="003E73AC"/>
    <w:rsid w:val="003F7224"/>
    <w:rsid w:val="00405146"/>
    <w:rsid w:val="0042412C"/>
    <w:rsid w:val="00427D21"/>
    <w:rsid w:val="00434271"/>
    <w:rsid w:val="004644C2"/>
    <w:rsid w:val="004652D5"/>
    <w:rsid w:val="00467F9C"/>
    <w:rsid w:val="00476CC8"/>
    <w:rsid w:val="00480CC8"/>
    <w:rsid w:val="004B27FE"/>
    <w:rsid w:val="004B31C9"/>
    <w:rsid w:val="004B5330"/>
    <w:rsid w:val="004C7F0D"/>
    <w:rsid w:val="00500E20"/>
    <w:rsid w:val="00503236"/>
    <w:rsid w:val="00520A51"/>
    <w:rsid w:val="0052359B"/>
    <w:rsid w:val="005345E1"/>
    <w:rsid w:val="00534681"/>
    <w:rsid w:val="005507D7"/>
    <w:rsid w:val="005A70F4"/>
    <w:rsid w:val="005A7B79"/>
    <w:rsid w:val="005D0AEF"/>
    <w:rsid w:val="005E1A28"/>
    <w:rsid w:val="005F1B8C"/>
    <w:rsid w:val="0060671D"/>
    <w:rsid w:val="006122BA"/>
    <w:rsid w:val="0061445E"/>
    <w:rsid w:val="00614D71"/>
    <w:rsid w:val="0062777D"/>
    <w:rsid w:val="006419BE"/>
    <w:rsid w:val="00680732"/>
    <w:rsid w:val="006B2290"/>
    <w:rsid w:val="006E3D93"/>
    <w:rsid w:val="006F1189"/>
    <w:rsid w:val="006F50A6"/>
    <w:rsid w:val="00717D88"/>
    <w:rsid w:val="0074787B"/>
    <w:rsid w:val="007549EC"/>
    <w:rsid w:val="00761987"/>
    <w:rsid w:val="007619AF"/>
    <w:rsid w:val="007708FA"/>
    <w:rsid w:val="007942D3"/>
    <w:rsid w:val="007A162D"/>
    <w:rsid w:val="007B0441"/>
    <w:rsid w:val="007B292E"/>
    <w:rsid w:val="007B6C09"/>
    <w:rsid w:val="007D602C"/>
    <w:rsid w:val="007D7451"/>
    <w:rsid w:val="007E09DA"/>
    <w:rsid w:val="007E4F34"/>
    <w:rsid w:val="007F31A1"/>
    <w:rsid w:val="00806A01"/>
    <w:rsid w:val="008178B6"/>
    <w:rsid w:val="0085599F"/>
    <w:rsid w:val="00865B74"/>
    <w:rsid w:val="00885F92"/>
    <w:rsid w:val="008964A8"/>
    <w:rsid w:val="008C6A9A"/>
    <w:rsid w:val="008F5579"/>
    <w:rsid w:val="00913A7A"/>
    <w:rsid w:val="00930BA1"/>
    <w:rsid w:val="0093169E"/>
    <w:rsid w:val="009505C9"/>
    <w:rsid w:val="00993A9A"/>
    <w:rsid w:val="0099433F"/>
    <w:rsid w:val="009A2B5E"/>
    <w:rsid w:val="009A79E6"/>
    <w:rsid w:val="009C200D"/>
    <w:rsid w:val="009E0C24"/>
    <w:rsid w:val="009E2593"/>
    <w:rsid w:val="00A1040E"/>
    <w:rsid w:val="00A20BC9"/>
    <w:rsid w:val="00A352A5"/>
    <w:rsid w:val="00A4443E"/>
    <w:rsid w:val="00A53B56"/>
    <w:rsid w:val="00A57937"/>
    <w:rsid w:val="00AF5130"/>
    <w:rsid w:val="00AF7300"/>
    <w:rsid w:val="00B1358D"/>
    <w:rsid w:val="00B244C1"/>
    <w:rsid w:val="00B24894"/>
    <w:rsid w:val="00B31519"/>
    <w:rsid w:val="00B3369F"/>
    <w:rsid w:val="00B440E0"/>
    <w:rsid w:val="00B60F4A"/>
    <w:rsid w:val="00B72E7B"/>
    <w:rsid w:val="00B81C9C"/>
    <w:rsid w:val="00B9133F"/>
    <w:rsid w:val="00B928CA"/>
    <w:rsid w:val="00BC6196"/>
    <w:rsid w:val="00BF3726"/>
    <w:rsid w:val="00C20252"/>
    <w:rsid w:val="00C35537"/>
    <w:rsid w:val="00C649EC"/>
    <w:rsid w:val="00C765F1"/>
    <w:rsid w:val="00C9161D"/>
    <w:rsid w:val="00CA569C"/>
    <w:rsid w:val="00CB0849"/>
    <w:rsid w:val="00CC5553"/>
    <w:rsid w:val="00CC7D0A"/>
    <w:rsid w:val="00CF1848"/>
    <w:rsid w:val="00CF1985"/>
    <w:rsid w:val="00CF5E97"/>
    <w:rsid w:val="00D0133C"/>
    <w:rsid w:val="00D12044"/>
    <w:rsid w:val="00D26192"/>
    <w:rsid w:val="00D72247"/>
    <w:rsid w:val="00D76A18"/>
    <w:rsid w:val="00D867FE"/>
    <w:rsid w:val="00D9702A"/>
    <w:rsid w:val="00DD118C"/>
    <w:rsid w:val="00E029A4"/>
    <w:rsid w:val="00E52793"/>
    <w:rsid w:val="00E55E7F"/>
    <w:rsid w:val="00E6124B"/>
    <w:rsid w:val="00E62114"/>
    <w:rsid w:val="00E66235"/>
    <w:rsid w:val="00E83C24"/>
    <w:rsid w:val="00E9318D"/>
    <w:rsid w:val="00E965A0"/>
    <w:rsid w:val="00EA1A55"/>
    <w:rsid w:val="00EA53AC"/>
    <w:rsid w:val="00ED72DA"/>
    <w:rsid w:val="00EF3314"/>
    <w:rsid w:val="00EF559F"/>
    <w:rsid w:val="00F0224D"/>
    <w:rsid w:val="00F15E36"/>
    <w:rsid w:val="00F62726"/>
    <w:rsid w:val="00F8662E"/>
    <w:rsid w:val="00F94774"/>
    <w:rsid w:val="00FB1382"/>
    <w:rsid w:val="00FB51DF"/>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427D21"/>
    <w:rPr>
      <w:sz w:val="22"/>
      <w:u w:val="none"/>
      <w:vertAlign w:val="superscript"/>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styleId="CommentSubject">
    <w:name w:val="annotation subject"/>
    <w:basedOn w:val="CommentText"/>
    <w:next w:val="CommentText"/>
    <w:link w:val="CommentSubjectChar"/>
    <w:uiPriority w:val="99"/>
    <w:semiHidden/>
    <w:unhideWhenUsed/>
    <w:rsid w:val="004652D5"/>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4652D5"/>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meetings/tk/wg8j-08/information/wg8j-08-inf-10-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0FA5E1E0E1C148418C8620149AA7FA9E"/>
        <w:category>
          <w:name w:val="General"/>
          <w:gallery w:val="placeholder"/>
        </w:category>
        <w:types>
          <w:type w:val="bbPlcHdr"/>
        </w:types>
        <w:behaviors>
          <w:behavior w:val="content"/>
        </w:behaviors>
        <w:guid w:val="{C659636D-4EEC-4427-A564-77744540B1DC}"/>
      </w:docPartPr>
      <w:docPartBody>
        <w:p w:rsidR="001954F3" w:rsidRDefault="001954F3" w:rsidP="001954F3">
          <w:pPr>
            <w:pStyle w:val="0FA5E1E0E1C148418C8620149AA7FA9E"/>
          </w:pPr>
          <w:r w:rsidRPr="007E02EB">
            <w:rPr>
              <w:rStyle w:val="PlaceholderText"/>
            </w:rPr>
            <w:t>[Status]</w:t>
          </w:r>
        </w:p>
      </w:docPartBody>
    </w:docPart>
    <w:docPart>
      <w:docPartPr>
        <w:name w:val="F21BA752DB754375B02F636BE36B09D4"/>
        <w:category>
          <w:name w:val="General"/>
          <w:gallery w:val="placeholder"/>
        </w:category>
        <w:types>
          <w:type w:val="bbPlcHdr"/>
        </w:types>
        <w:behaviors>
          <w:behavior w:val="content"/>
        </w:behaviors>
        <w:guid w:val="{1176E87F-96B3-4AC9-9FA0-4FF7C849A238}"/>
      </w:docPartPr>
      <w:docPartBody>
        <w:p w:rsidR="001954F3" w:rsidRDefault="001954F3" w:rsidP="001954F3">
          <w:pPr>
            <w:pStyle w:val="F21BA752DB754375B02F636BE36B09D4"/>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954F3"/>
    <w:rsid w:val="00261E9A"/>
    <w:rsid w:val="00500A2B"/>
    <w:rsid w:val="0058288D"/>
    <w:rsid w:val="0061690A"/>
    <w:rsid w:val="006801B3"/>
    <w:rsid w:val="00720F63"/>
    <w:rsid w:val="007F1B76"/>
    <w:rsid w:val="00810A55"/>
    <w:rsid w:val="008C6619"/>
    <w:rsid w:val="008D420E"/>
    <w:rsid w:val="00952E70"/>
    <w:rsid w:val="0098642F"/>
    <w:rsid w:val="0098724F"/>
    <w:rsid w:val="00AB7D13"/>
    <w:rsid w:val="00CE6602"/>
    <w:rsid w:val="00FB1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54F3"/>
    <w:rPr>
      <w:color w:val="808080"/>
    </w:rPr>
  </w:style>
  <w:style w:type="paragraph" w:customStyle="1" w:styleId="C444DEE40D7C456B82AF1A09CD132ABF">
    <w:name w:val="C444DEE40D7C456B82AF1A09CD132ABF"/>
    <w:rsid w:val="00CE6602"/>
    <w:pPr>
      <w:spacing w:after="160" w:line="259" w:lineRule="auto"/>
    </w:pPr>
  </w:style>
  <w:style w:type="paragraph" w:customStyle="1" w:styleId="53BF269CECFF496FBC6EA92F9291B7DF">
    <w:name w:val="53BF269CECFF496FBC6EA92F9291B7DF"/>
    <w:rsid w:val="001954F3"/>
    <w:pPr>
      <w:spacing w:after="160" w:line="259" w:lineRule="auto"/>
    </w:pPr>
  </w:style>
  <w:style w:type="paragraph" w:customStyle="1" w:styleId="E5E27CC2E3994687B61D3ED43DF2F183">
    <w:name w:val="E5E27CC2E3994687B61D3ED43DF2F183"/>
    <w:rsid w:val="001954F3"/>
    <w:pPr>
      <w:spacing w:after="160" w:line="259" w:lineRule="auto"/>
    </w:pPr>
  </w:style>
  <w:style w:type="paragraph" w:customStyle="1" w:styleId="D5D8D7E724B64AB1A1E9D192D4998BBC">
    <w:name w:val="D5D8D7E724B64AB1A1E9D192D4998BBC"/>
    <w:rsid w:val="001954F3"/>
    <w:pPr>
      <w:spacing w:after="160" w:line="259" w:lineRule="auto"/>
    </w:pPr>
  </w:style>
  <w:style w:type="paragraph" w:customStyle="1" w:styleId="23C70DCC7D694365AB55B772B080355B">
    <w:name w:val="23C70DCC7D694365AB55B772B080355B"/>
    <w:rsid w:val="001954F3"/>
    <w:pPr>
      <w:spacing w:after="160" w:line="259" w:lineRule="auto"/>
    </w:pPr>
  </w:style>
  <w:style w:type="paragraph" w:customStyle="1" w:styleId="2E96DB1FB9F4498A9373736AE3A55031">
    <w:name w:val="2E96DB1FB9F4498A9373736AE3A55031"/>
    <w:rsid w:val="001954F3"/>
    <w:pPr>
      <w:spacing w:after="160" w:line="259" w:lineRule="auto"/>
    </w:pPr>
  </w:style>
  <w:style w:type="paragraph" w:customStyle="1" w:styleId="92594FE456EF4938B20FAA1D937CC1BB">
    <w:name w:val="92594FE456EF4938B20FAA1D937CC1BB"/>
    <w:rsid w:val="001954F3"/>
    <w:pPr>
      <w:spacing w:after="160" w:line="259" w:lineRule="auto"/>
    </w:pPr>
  </w:style>
  <w:style w:type="paragraph" w:customStyle="1" w:styleId="E0779CA56F804BAE9A4BCAB1E598976F">
    <w:name w:val="E0779CA56F804BAE9A4BCAB1E598976F"/>
    <w:rsid w:val="001954F3"/>
    <w:pPr>
      <w:spacing w:after="160" w:line="259" w:lineRule="auto"/>
    </w:pPr>
  </w:style>
  <w:style w:type="paragraph" w:customStyle="1" w:styleId="355F6E3B353D40698B7AC46494D690D4">
    <w:name w:val="355F6E3B353D40698B7AC46494D690D4"/>
    <w:rsid w:val="001954F3"/>
    <w:pPr>
      <w:spacing w:after="160" w:line="259" w:lineRule="auto"/>
    </w:pPr>
  </w:style>
  <w:style w:type="paragraph" w:customStyle="1" w:styleId="0FA5E1E0E1C148418C8620149AA7FA9E">
    <w:name w:val="0FA5E1E0E1C148418C8620149AA7FA9E"/>
    <w:rsid w:val="001954F3"/>
    <w:pPr>
      <w:spacing w:after="160" w:line="259" w:lineRule="auto"/>
    </w:pPr>
  </w:style>
  <w:style w:type="paragraph" w:customStyle="1" w:styleId="F21BA752DB754375B02F636BE36B09D4">
    <w:name w:val="F21BA752DB754375B02F636BE36B09D4"/>
    <w:rsid w:val="001954F3"/>
    <w:pPr>
      <w:spacing w:after="160" w:line="259" w:lineRule="auto"/>
    </w:pPr>
  </w:style>
  <w:style w:type="paragraph" w:customStyle="1" w:styleId="5974526E520B4C2687E68AEAE8EF2AFC">
    <w:name w:val="5974526E520B4C2687E68AEAE8EF2AFC"/>
    <w:rsid w:val="001954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E0A6B2-0B8D-4A28-B18F-C32E1498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6436</Words>
  <Characters>36691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3/1.	Assessment and review of the effectiveness of the Protocol (Article 31)</vt:lpstr>
    </vt:vector>
  </TitlesOfParts>
  <Company>SCBD</Company>
  <LinksUpToDate>false</LinksUpToDate>
  <CharactersWithSpaces>43041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	Assessment and review of the effectiveness of the Protocol (Article 31)</dc:title>
  <dc:subject>CBD/NP/MOP/DEC/3/1</dc:subject>
  <dc:creator>NP-MOP-03</dc:creator>
  <cp:keywords>Assessment and review of the effectiveness of the Protocol (Article 31), Nagoya Protocol on Access to Genetic Resources and the Fair and Equitable Sharing of Benefits Arising from their Utilization, Convention on Biological Diversity</cp:keywords>
  <cp:lastModifiedBy>Veronique Lefebvre</cp:lastModifiedBy>
  <cp:revision>5</cp:revision>
  <dcterms:created xsi:type="dcterms:W3CDTF">2019-01-18T14:27:00Z</dcterms:created>
  <dcterms:modified xsi:type="dcterms:W3CDTF">2019-01-25T16:33:00Z</dcterms:modified>
  <cp:contentStatus>GENERAL</cp:contentStatus>
</cp:coreProperties>
</file>