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3899"/>
        <w:gridCol w:w="5661"/>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094684" w:rsidRDefault="0006021E" w:rsidP="00BD4E34">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28796021" w14:textId="77777777" w:rsidR="0006021E" w:rsidRPr="00094684" w:rsidRDefault="0006021E" w:rsidP="00BD4E34">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53699B58" w14:textId="34C353B5" w:rsidR="0006021E" w:rsidRPr="005C15AA" w:rsidRDefault="00464A21" w:rsidP="00BD4E34">
            <w:pPr>
              <w:tabs>
                <w:tab w:val="clear" w:pos="567"/>
                <w:tab w:val="clear" w:pos="1134"/>
                <w:tab w:val="clear" w:pos="1701"/>
                <w:tab w:val="clear" w:pos="2268"/>
              </w:tabs>
              <w:spacing w:after="120"/>
              <w:ind w:left="2021"/>
              <w:jc w:val="right"/>
              <w:rPr>
                <w:sz w:val="22"/>
                <w:lang w:val="en-GB" w:eastAsia="zh-CN"/>
              </w:rPr>
            </w:pPr>
            <w:r w:rsidRPr="00930ACF">
              <w:rPr>
                <w:rFonts w:eastAsia="Times New Roman"/>
                <w:sz w:val="36"/>
                <w:szCs w:val="36"/>
                <w:lang w:val="en-GB"/>
              </w:rPr>
              <w:t>CBD</w:t>
            </w:r>
            <w:r w:rsidR="00B32821" w:rsidRPr="00B32821">
              <w:rPr>
                <w:rFonts w:eastAsia="Times New Roman"/>
                <w:sz w:val="24"/>
                <w:szCs w:val="24"/>
                <w:lang w:val="en-GB"/>
              </w:rPr>
              <w:t>/CP/MOP/DEC/11/10</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3613CF55"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 xml:space="preserve">Distr.: </w:t>
            </w:r>
            <w:r w:rsidR="00B32821">
              <w:rPr>
                <w:rFonts w:eastAsia="Times New Roman"/>
                <w:sz w:val="24"/>
                <w:lang w:val="en-GB"/>
              </w:rPr>
              <w:t>General</w:t>
            </w:r>
          </w:p>
          <w:p w14:paraId="5002CD99" w14:textId="2CBAC84B" w:rsidR="0006021E" w:rsidRPr="00094684" w:rsidRDefault="00872E6D" w:rsidP="00BD4E34">
            <w:pPr>
              <w:tabs>
                <w:tab w:val="clear" w:pos="567"/>
                <w:tab w:val="clear" w:pos="1134"/>
                <w:tab w:val="clear" w:pos="1701"/>
                <w:tab w:val="clear" w:pos="2268"/>
              </w:tabs>
              <w:ind w:left="2021"/>
              <w:rPr>
                <w:rFonts w:eastAsia="Times New Roman"/>
                <w:sz w:val="24"/>
                <w:lang w:val="en-GB"/>
              </w:rPr>
            </w:pPr>
            <w:r w:rsidRPr="00872E6D">
              <w:rPr>
                <w:sz w:val="24"/>
                <w:lang w:val="en-GB" w:eastAsia="zh-CN"/>
              </w:rPr>
              <w:t>2</w:t>
            </w:r>
            <w:r w:rsidR="0027286E">
              <w:rPr>
                <w:rFonts w:hint="eastAsia"/>
                <w:sz w:val="24"/>
                <w:lang w:val="en-GB" w:eastAsia="zh-CN"/>
              </w:rPr>
              <w:t>5</w:t>
            </w:r>
            <w:r w:rsidRPr="00872E6D">
              <w:rPr>
                <w:sz w:val="24"/>
                <w:lang w:val="en-GB" w:eastAsia="zh-CN"/>
              </w:rPr>
              <w:t xml:space="preserve"> October </w:t>
            </w:r>
            <w:r w:rsidR="0006021E" w:rsidRPr="00094684">
              <w:rPr>
                <w:rFonts w:eastAsia="Times New Roman"/>
                <w:sz w:val="24"/>
              </w:rPr>
              <w:t>2024</w:t>
            </w:r>
          </w:p>
          <w:p w14:paraId="169638DB"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C0FEDF8"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43AB8573" w14:textId="77777777" w:rsidR="00B32821" w:rsidRDefault="00464A21" w:rsidP="00626DEA">
      <w:pPr>
        <w:pStyle w:val="AFCorNot12Bold"/>
        <w:spacing w:before="60"/>
        <w:rPr>
          <w:snapToGrid w:val="0"/>
          <w:lang w:val="en-US" w:eastAsia="zh-CN"/>
        </w:rPr>
      </w:pPr>
      <w:r w:rsidRPr="00930ACF">
        <w:rPr>
          <w:rFonts w:hint="eastAsia"/>
          <w:snapToGrid w:val="0"/>
          <w:lang w:eastAsia="zh-CN"/>
        </w:rPr>
        <w:t>作为卡塔赫纳生物安全议定书缔约方会议</w:t>
      </w:r>
    </w:p>
    <w:p w14:paraId="4A564261" w14:textId="3105B989" w:rsidR="00464A21" w:rsidRPr="00930ACF" w:rsidRDefault="00464A21" w:rsidP="00464A21">
      <w:pPr>
        <w:pStyle w:val="AFCorNot12Bold"/>
        <w:rPr>
          <w:snapToGrid w:val="0"/>
          <w:lang w:val="en-US" w:eastAsia="zh-CN"/>
        </w:rPr>
      </w:pPr>
      <w:r w:rsidRPr="00930ACF">
        <w:rPr>
          <w:rFonts w:hint="eastAsia"/>
          <w:snapToGrid w:val="0"/>
          <w:lang w:eastAsia="zh-CN"/>
        </w:rPr>
        <w:t>的生物多样性公约</w:t>
      </w:r>
      <w:r w:rsidRPr="00930ACF">
        <w:rPr>
          <w:rFonts w:hint="eastAsia"/>
          <w:snapToGrid w:val="0"/>
          <w:lang w:val="en-US" w:eastAsia="zh-CN"/>
        </w:rPr>
        <w:t>缔约方大会</w:t>
      </w:r>
    </w:p>
    <w:p w14:paraId="6A3D567B" w14:textId="77777777" w:rsidR="00464A21" w:rsidRPr="006D6CF1" w:rsidRDefault="00464A21" w:rsidP="00464A21">
      <w:pPr>
        <w:pStyle w:val="AFCorNot12Bold"/>
        <w:rPr>
          <w:snapToGrid w:val="0"/>
          <w:lang w:eastAsia="zh-CN"/>
        </w:rPr>
      </w:pPr>
      <w:r w:rsidRPr="00930ACF">
        <w:rPr>
          <w:rFonts w:hint="eastAsia"/>
          <w:snapToGrid w:val="0"/>
          <w:lang w:eastAsia="zh-CN"/>
        </w:rPr>
        <w:t>第十一次会议</w:t>
      </w:r>
    </w:p>
    <w:p w14:paraId="4E2BA551" w14:textId="77777777" w:rsidR="00464A21" w:rsidRPr="006D6CF1" w:rsidRDefault="00464A21" w:rsidP="00464A21">
      <w:pPr>
        <w:pStyle w:val="AFCorNot12Bold"/>
        <w:rPr>
          <w:b w:val="0"/>
          <w:bCs/>
          <w:snapToGrid w:val="0"/>
          <w:lang w:eastAsia="zh-CN"/>
        </w:rPr>
      </w:pPr>
      <w:r w:rsidRPr="006D6CF1">
        <w:rPr>
          <w:b w:val="0"/>
          <w:bCs/>
          <w:snapToGrid w:val="0"/>
          <w:lang w:eastAsia="zh-CN"/>
        </w:rPr>
        <w:t>2024</w:t>
      </w:r>
      <w:r w:rsidRPr="006D6CF1">
        <w:rPr>
          <w:b w:val="0"/>
          <w:bCs/>
          <w:snapToGrid w:val="0"/>
          <w:lang w:eastAsia="zh-CN"/>
        </w:rPr>
        <w:t>年</w:t>
      </w:r>
      <w:r w:rsidRPr="006D6CF1">
        <w:rPr>
          <w:b w:val="0"/>
          <w:bCs/>
          <w:snapToGrid w:val="0"/>
          <w:lang w:eastAsia="zh-CN"/>
        </w:rPr>
        <w:t>10</w:t>
      </w:r>
      <w:r w:rsidRPr="006D6CF1">
        <w:rPr>
          <w:b w:val="0"/>
          <w:bCs/>
          <w:snapToGrid w:val="0"/>
          <w:lang w:eastAsia="zh-CN"/>
        </w:rPr>
        <w:t>月</w:t>
      </w:r>
      <w:r w:rsidRPr="006D6CF1">
        <w:rPr>
          <w:b w:val="0"/>
          <w:bCs/>
          <w:snapToGrid w:val="0"/>
          <w:lang w:eastAsia="zh-CN"/>
        </w:rPr>
        <w:t>21</w:t>
      </w:r>
      <w:r w:rsidRPr="006D6CF1">
        <w:rPr>
          <w:b w:val="0"/>
          <w:bCs/>
          <w:snapToGrid w:val="0"/>
          <w:lang w:eastAsia="zh-CN"/>
        </w:rPr>
        <w:t>日至</w:t>
      </w:r>
      <w:r w:rsidRPr="006D6CF1">
        <w:rPr>
          <w:b w:val="0"/>
          <w:bCs/>
          <w:snapToGrid w:val="0"/>
          <w:lang w:eastAsia="zh-CN"/>
        </w:rPr>
        <w:t>11</w:t>
      </w:r>
      <w:r w:rsidRPr="006D6CF1">
        <w:rPr>
          <w:b w:val="0"/>
          <w:bCs/>
          <w:snapToGrid w:val="0"/>
          <w:lang w:eastAsia="zh-CN"/>
        </w:rPr>
        <w:t>月</w:t>
      </w:r>
      <w:r w:rsidRPr="006D6CF1">
        <w:rPr>
          <w:b w:val="0"/>
          <w:bCs/>
          <w:snapToGrid w:val="0"/>
          <w:lang w:eastAsia="zh-CN"/>
        </w:rPr>
        <w:t>1</w:t>
      </w:r>
      <w:r w:rsidRPr="006D6CF1">
        <w:rPr>
          <w:b w:val="0"/>
          <w:bCs/>
          <w:snapToGrid w:val="0"/>
          <w:lang w:eastAsia="zh-CN"/>
        </w:rPr>
        <w:t>日，哥伦比亚卡利</w:t>
      </w:r>
    </w:p>
    <w:p w14:paraId="7B71FF32" w14:textId="2458A647" w:rsidR="00464A21" w:rsidRDefault="00464A21" w:rsidP="00464A21">
      <w:pPr>
        <w:pStyle w:val="AFCorNot12Bold"/>
        <w:rPr>
          <w:b w:val="0"/>
          <w:bCs/>
          <w:snapToGrid w:val="0"/>
          <w:lang w:eastAsia="zh-CN"/>
        </w:rPr>
      </w:pPr>
      <w:r w:rsidRPr="006D6CF1">
        <w:rPr>
          <w:b w:val="0"/>
          <w:bCs/>
          <w:snapToGrid w:val="0"/>
          <w:lang w:eastAsia="zh-CN"/>
        </w:rPr>
        <w:t>议程项目</w:t>
      </w:r>
      <w:r w:rsidR="008B3828">
        <w:rPr>
          <w:rFonts w:hint="eastAsia"/>
          <w:b w:val="0"/>
          <w:bCs/>
          <w:snapToGrid w:val="0"/>
          <w:lang w:eastAsia="zh-CN"/>
        </w:rPr>
        <w:t>14</w:t>
      </w:r>
      <w:r w:rsidR="0027286E">
        <w:rPr>
          <w:rFonts w:hint="eastAsia"/>
          <w:b w:val="0"/>
          <w:bCs/>
          <w:snapToGrid w:val="0"/>
          <w:lang w:eastAsia="zh-CN"/>
        </w:rPr>
        <w:t xml:space="preserve"> </w:t>
      </w:r>
    </w:p>
    <w:p w14:paraId="3270D09D" w14:textId="3E4811AE" w:rsidR="0006021E" w:rsidRPr="0027286E" w:rsidRDefault="008B3828" w:rsidP="0006021E">
      <w:pPr>
        <w:pStyle w:val="AFCorNotNormal"/>
        <w:rPr>
          <w:rFonts w:ascii="SimSun" w:hAnsi="SimSun"/>
          <w:b/>
          <w:sz w:val="24"/>
          <w:szCs w:val="24"/>
          <w:lang w:val="en-US" w:eastAsia="zh-CN"/>
        </w:rPr>
      </w:pPr>
      <w:r w:rsidRPr="008B3828">
        <w:rPr>
          <w:rFonts w:ascii="SimSun" w:hAnsi="SimSun" w:hint="eastAsia"/>
          <w:b/>
          <w:sz w:val="24"/>
          <w:szCs w:val="24"/>
          <w:lang w:val="en-US" w:eastAsia="zh-CN"/>
        </w:rPr>
        <w:t>《</w:t>
      </w:r>
      <w:bookmarkStart w:id="3" w:name="_Hlk176438799"/>
      <w:r w:rsidRPr="008B3828">
        <w:rPr>
          <w:rFonts w:ascii="SimSun" w:hAnsi="SimSun" w:hint="eastAsia"/>
          <w:b/>
          <w:sz w:val="24"/>
          <w:szCs w:val="24"/>
          <w:lang w:val="en-US" w:eastAsia="zh-CN"/>
        </w:rPr>
        <w:t>关于赔偿责任和补救的名古屋</w:t>
      </w:r>
      <w:r w:rsidRPr="008B3828">
        <w:rPr>
          <w:rFonts w:ascii="SimSun" w:hAnsi="SimSun"/>
          <w:b/>
          <w:sz w:val="24"/>
          <w:szCs w:val="24"/>
          <w:lang w:val="en-US" w:eastAsia="zh-CN"/>
        </w:rPr>
        <w:t>-</w:t>
      </w:r>
      <w:r w:rsidRPr="008B3828">
        <w:rPr>
          <w:rFonts w:ascii="SimSun" w:hAnsi="SimSun" w:hint="eastAsia"/>
          <w:b/>
          <w:sz w:val="24"/>
          <w:szCs w:val="24"/>
          <w:lang w:val="en-US" w:eastAsia="zh-CN"/>
        </w:rPr>
        <w:t>吉隆坡补充议定书</w:t>
      </w:r>
      <w:bookmarkEnd w:id="3"/>
      <w:r w:rsidRPr="008B3828">
        <w:rPr>
          <w:rFonts w:ascii="SimSun" w:hAnsi="SimSun" w:hint="eastAsia"/>
          <w:b/>
          <w:sz w:val="24"/>
          <w:szCs w:val="24"/>
          <w:lang w:val="en-US" w:eastAsia="zh-CN"/>
        </w:rPr>
        <w:t>》</w:t>
      </w:r>
      <w:r w:rsidR="00982ADE">
        <w:rPr>
          <w:rFonts w:ascii="SimSun" w:hAnsi="SimSun" w:hint="eastAsia"/>
          <w:b/>
          <w:sz w:val="24"/>
          <w:szCs w:val="24"/>
          <w:lang w:eastAsia="zh-CN"/>
        </w:rPr>
        <w:t xml:space="preserve"> </w:t>
      </w:r>
    </w:p>
    <w:p w14:paraId="7A615D42" w14:textId="77777777" w:rsidR="005C15AA" w:rsidRPr="005C15AA" w:rsidRDefault="005C15AA" w:rsidP="0006021E">
      <w:pPr>
        <w:pStyle w:val="AFCorNotNormal"/>
        <w:rPr>
          <w:bCs/>
          <w:lang w:val="en-US" w:eastAsia="zh-CN"/>
        </w:rPr>
      </w:pPr>
    </w:p>
    <w:p w14:paraId="2C907D24" w14:textId="48D5789B" w:rsidR="00B32821" w:rsidRDefault="00B32821" w:rsidP="00F14609">
      <w:pPr>
        <w:pStyle w:val="Item"/>
        <w:ind w:left="490"/>
        <w:rPr>
          <w:rFonts w:eastAsia="SimSun"/>
          <w:sz w:val="28"/>
          <w:szCs w:val="28"/>
          <w:lang w:val="en-US" w:eastAsia="zh-CN"/>
        </w:rPr>
      </w:pPr>
      <w:r w:rsidRPr="00B32821">
        <w:rPr>
          <w:rFonts w:eastAsia="SimSun" w:hint="eastAsia"/>
          <w:sz w:val="28"/>
          <w:szCs w:val="28"/>
          <w:lang w:val="en-US" w:eastAsia="zh-CN"/>
        </w:rPr>
        <w:t>2024</w:t>
      </w:r>
      <w:r w:rsidRPr="00B32821">
        <w:rPr>
          <w:rFonts w:eastAsia="SimSun" w:hint="eastAsia"/>
          <w:sz w:val="28"/>
          <w:szCs w:val="28"/>
          <w:lang w:val="en-US" w:eastAsia="zh-CN"/>
        </w:rPr>
        <w:t>年</w:t>
      </w:r>
      <w:r w:rsidRPr="00B32821">
        <w:rPr>
          <w:rFonts w:eastAsia="SimSun" w:hint="eastAsia"/>
          <w:sz w:val="28"/>
          <w:szCs w:val="28"/>
          <w:lang w:val="en-US" w:eastAsia="zh-CN"/>
        </w:rPr>
        <w:t>10</w:t>
      </w:r>
      <w:r w:rsidRPr="00B32821">
        <w:rPr>
          <w:rFonts w:eastAsia="SimSun" w:hint="eastAsia"/>
          <w:sz w:val="28"/>
          <w:szCs w:val="28"/>
          <w:lang w:val="en-US" w:eastAsia="zh-CN"/>
        </w:rPr>
        <w:t>月</w:t>
      </w:r>
      <w:r w:rsidRPr="00B32821">
        <w:rPr>
          <w:rFonts w:eastAsia="SimSun" w:hint="eastAsia"/>
          <w:sz w:val="28"/>
          <w:szCs w:val="28"/>
          <w:lang w:val="en-US" w:eastAsia="zh-CN"/>
        </w:rPr>
        <w:t>25</w:t>
      </w:r>
      <w:r w:rsidRPr="00B32821">
        <w:rPr>
          <w:rFonts w:eastAsia="SimSun" w:hint="eastAsia"/>
          <w:sz w:val="28"/>
          <w:szCs w:val="28"/>
          <w:lang w:val="en-US" w:eastAsia="zh-CN"/>
        </w:rPr>
        <w:t>日作为卡塔赫纳生物安全议定书缔约方会议的生物多样性公约缔约方大会通过的决定</w:t>
      </w:r>
    </w:p>
    <w:p w14:paraId="63A1B73F" w14:textId="6DC42244" w:rsidR="00B32821" w:rsidRDefault="00B32821" w:rsidP="00B32821">
      <w:pPr>
        <w:pStyle w:val="Item"/>
        <w:ind w:left="490"/>
        <w:rPr>
          <w:rFonts w:eastAsia="SimSun"/>
          <w:szCs w:val="24"/>
          <w:lang w:val="en-US" w:eastAsia="zh-CN"/>
        </w:rPr>
      </w:pPr>
      <w:r w:rsidRPr="00B32821">
        <w:rPr>
          <w:rFonts w:eastAsia="SimSun"/>
          <w:szCs w:val="24"/>
          <w:lang w:val="en-US" w:eastAsia="zh-CN"/>
        </w:rPr>
        <w:t xml:space="preserve">CP-11/10.  </w:t>
      </w:r>
      <w:r w:rsidR="008B3828" w:rsidRPr="00B32821">
        <w:rPr>
          <w:rFonts w:eastAsia="SimSun"/>
          <w:szCs w:val="24"/>
          <w:lang w:val="en-US" w:eastAsia="zh-CN"/>
        </w:rPr>
        <w:t>《关于赔偿责任和补救的名古屋</w:t>
      </w:r>
      <w:r w:rsidR="008B3828" w:rsidRPr="00B32821">
        <w:rPr>
          <w:rFonts w:eastAsia="SimSun"/>
          <w:szCs w:val="24"/>
          <w:lang w:val="en-US" w:eastAsia="zh-CN"/>
        </w:rPr>
        <w:t>-</w:t>
      </w:r>
      <w:r w:rsidR="008B3828" w:rsidRPr="00B32821">
        <w:rPr>
          <w:rFonts w:eastAsia="SimSun"/>
          <w:szCs w:val="24"/>
          <w:lang w:val="en-US" w:eastAsia="zh-CN"/>
        </w:rPr>
        <w:t>吉隆坡补充议定书》</w:t>
      </w:r>
      <w:r>
        <w:rPr>
          <w:rFonts w:eastAsia="SimSun"/>
          <w:szCs w:val="24"/>
          <w:lang w:val="en-US" w:eastAsia="zh-CN"/>
        </w:rPr>
        <w:t xml:space="preserve"> </w:t>
      </w:r>
    </w:p>
    <w:p w14:paraId="723EF40F" w14:textId="11632E02" w:rsidR="008B3828" w:rsidRPr="008B3828" w:rsidRDefault="008B3828" w:rsidP="00B32821">
      <w:pPr>
        <w:pStyle w:val="Item"/>
        <w:tabs>
          <w:tab w:val="clear" w:pos="567"/>
          <w:tab w:val="clear" w:pos="1134"/>
          <w:tab w:val="clear" w:pos="1701"/>
          <w:tab w:val="clear" w:pos="2268"/>
        </w:tabs>
        <w:spacing w:before="360" w:line="240" w:lineRule="atLeast"/>
        <w:ind w:left="490" w:firstLine="490"/>
        <w:rPr>
          <w:rFonts w:eastAsia="KaiTi"/>
          <w:lang w:eastAsia="zh-CN"/>
        </w:rPr>
      </w:pPr>
      <w:r w:rsidRPr="008B3828">
        <w:rPr>
          <w:rFonts w:eastAsia="KaiTi" w:hint="eastAsia"/>
          <w:lang w:eastAsia="zh-CN"/>
        </w:rPr>
        <w:t>作为卡塔赫纳议定书缔约方会议</w:t>
      </w:r>
      <w:r w:rsidR="00020C3E">
        <w:rPr>
          <w:rFonts w:eastAsia="KaiTi" w:hint="eastAsia"/>
          <w:lang w:eastAsia="zh-CN"/>
        </w:rPr>
        <w:t>并</w:t>
      </w:r>
      <w:r w:rsidRPr="008B3828">
        <w:rPr>
          <w:rFonts w:eastAsia="KaiTi" w:hint="eastAsia"/>
          <w:lang w:eastAsia="zh-CN"/>
        </w:rPr>
        <w:t>作为</w:t>
      </w:r>
      <w:bookmarkStart w:id="4" w:name="_Hlk176439405"/>
      <w:r w:rsidRPr="008B3828">
        <w:rPr>
          <w:rFonts w:eastAsia="KaiTi" w:hint="eastAsia"/>
          <w:bCs/>
          <w:lang w:eastAsia="zh-CN"/>
        </w:rPr>
        <w:t>名古屋</w:t>
      </w:r>
      <w:r w:rsidRPr="008B3828">
        <w:rPr>
          <w:rFonts w:eastAsia="KaiTi"/>
          <w:bCs/>
          <w:lang w:eastAsia="zh-CN"/>
        </w:rPr>
        <w:t>-</w:t>
      </w:r>
      <w:r w:rsidRPr="008B3828">
        <w:rPr>
          <w:rFonts w:eastAsia="KaiTi" w:hint="eastAsia"/>
          <w:bCs/>
          <w:lang w:eastAsia="zh-CN"/>
        </w:rPr>
        <w:t>吉隆坡补充议定书</w:t>
      </w:r>
      <w:bookmarkEnd w:id="4"/>
      <w:r w:rsidRPr="008B3828">
        <w:rPr>
          <w:rFonts w:eastAsia="KaiTi" w:hint="eastAsia"/>
          <w:lang w:eastAsia="zh-CN"/>
        </w:rPr>
        <w:t>缔约方会议的缔约方大会</w:t>
      </w:r>
      <w:r w:rsidRPr="008B3828">
        <w:rPr>
          <w:rFonts w:eastAsia="KaiTi"/>
          <w:vertAlign w:val="superscript"/>
        </w:rPr>
        <w:footnoteReference w:id="2"/>
      </w:r>
      <w:r w:rsidR="00B32821" w:rsidRPr="008B3828">
        <w:rPr>
          <w:rFonts w:eastAsia="KaiTi" w:hint="eastAsia"/>
          <w:lang w:eastAsia="zh-CN"/>
        </w:rPr>
        <w:t>，</w:t>
      </w:r>
    </w:p>
    <w:p w14:paraId="7425D14B" w14:textId="2AEFB80D" w:rsidR="008B3828" w:rsidRPr="008B3828" w:rsidRDefault="008B3828" w:rsidP="00C30A63">
      <w:pPr>
        <w:tabs>
          <w:tab w:val="clear" w:pos="567"/>
          <w:tab w:val="clear" w:pos="1134"/>
          <w:tab w:val="clear" w:pos="1701"/>
          <w:tab w:val="clear" w:pos="2268"/>
        </w:tabs>
        <w:spacing w:before="120" w:after="120"/>
        <w:ind w:left="490" w:firstLine="490"/>
        <w:rPr>
          <w:sz w:val="24"/>
          <w:lang w:val="en-GB" w:eastAsia="zh-CN"/>
        </w:rPr>
      </w:pPr>
      <w:r w:rsidRPr="008B3828">
        <w:rPr>
          <w:rFonts w:ascii="KaiTi" w:eastAsia="KaiTi" w:hAnsi="KaiTi"/>
          <w:bCs/>
          <w:sz w:val="24"/>
          <w:lang w:eastAsia="zh-CN"/>
        </w:rPr>
        <w:t>回顾</w:t>
      </w:r>
      <w:r w:rsidRPr="008B3828">
        <w:rPr>
          <w:sz w:val="24"/>
          <w:lang w:eastAsia="zh-CN"/>
        </w:rPr>
        <w:t xml:space="preserve"> 2022 </w:t>
      </w:r>
      <w:r w:rsidRPr="008B3828">
        <w:rPr>
          <w:sz w:val="24"/>
          <w:lang w:eastAsia="zh-CN"/>
        </w:rPr>
        <w:t>年</w:t>
      </w:r>
      <w:r w:rsidRPr="008B3828">
        <w:rPr>
          <w:sz w:val="24"/>
          <w:lang w:eastAsia="zh-CN"/>
        </w:rPr>
        <w:t xml:space="preserve"> 12 </w:t>
      </w:r>
      <w:r w:rsidRPr="008B3828">
        <w:rPr>
          <w:sz w:val="24"/>
          <w:lang w:eastAsia="zh-CN"/>
        </w:rPr>
        <w:t>月</w:t>
      </w:r>
      <w:r w:rsidRPr="008B3828">
        <w:rPr>
          <w:sz w:val="24"/>
          <w:lang w:eastAsia="zh-CN"/>
        </w:rPr>
        <w:t xml:space="preserve"> 10 </w:t>
      </w:r>
      <w:r w:rsidRPr="008B3828">
        <w:rPr>
          <w:sz w:val="24"/>
          <w:lang w:eastAsia="zh-CN"/>
        </w:rPr>
        <w:t>日第</w:t>
      </w:r>
      <w:r w:rsidRPr="008B3828">
        <w:rPr>
          <w:sz w:val="24"/>
          <w:lang w:eastAsia="zh-CN"/>
        </w:rPr>
        <w:t xml:space="preserve"> </w:t>
      </w:r>
      <w:hyperlink r:id="rId13" w:history="1">
        <w:r w:rsidRPr="00B32821">
          <w:rPr>
            <w:rStyle w:val="Hyperlink"/>
            <w:sz w:val="24"/>
            <w:lang w:eastAsia="zh-CN"/>
          </w:rPr>
          <w:t>CP-10/13</w:t>
        </w:r>
      </w:hyperlink>
      <w:r w:rsidRPr="008B3828">
        <w:rPr>
          <w:sz w:val="24"/>
          <w:lang w:eastAsia="zh-CN"/>
        </w:rPr>
        <w:t xml:space="preserve"> </w:t>
      </w:r>
      <w:r w:rsidRPr="008B3828">
        <w:rPr>
          <w:sz w:val="24"/>
          <w:lang w:eastAsia="zh-CN"/>
        </w:rPr>
        <w:t>号决定，</w:t>
      </w:r>
      <w:r w:rsidR="0027286E">
        <w:rPr>
          <w:rFonts w:hint="eastAsia"/>
          <w:sz w:val="24"/>
          <w:lang w:eastAsia="zh-CN"/>
        </w:rPr>
        <w:t>特别是其第</w:t>
      </w:r>
      <w:r w:rsidR="0027286E">
        <w:rPr>
          <w:rFonts w:hint="eastAsia"/>
          <w:sz w:val="24"/>
          <w:lang w:eastAsia="zh-CN"/>
        </w:rPr>
        <w:t>8</w:t>
      </w:r>
      <w:r w:rsidR="0027286E">
        <w:rPr>
          <w:rFonts w:hint="eastAsia"/>
          <w:sz w:val="24"/>
          <w:lang w:eastAsia="zh-CN"/>
        </w:rPr>
        <w:t>段，</w:t>
      </w:r>
    </w:p>
    <w:p w14:paraId="69DB0F2C" w14:textId="05385825" w:rsidR="008B3828" w:rsidRPr="008B3828" w:rsidRDefault="008B3828" w:rsidP="00C30A63">
      <w:pPr>
        <w:tabs>
          <w:tab w:val="clear" w:pos="567"/>
          <w:tab w:val="clear" w:pos="1134"/>
          <w:tab w:val="clear" w:pos="1701"/>
          <w:tab w:val="clear" w:pos="2268"/>
        </w:tabs>
        <w:spacing w:before="120" w:after="120"/>
        <w:ind w:left="490" w:firstLine="490"/>
        <w:rPr>
          <w:sz w:val="24"/>
          <w:lang w:val="en-GB" w:eastAsia="zh-CN"/>
        </w:rPr>
      </w:pPr>
      <w:r w:rsidRPr="008B3828">
        <w:rPr>
          <w:rFonts w:ascii="KaiTi" w:eastAsia="KaiTi" w:hAnsi="KaiTi"/>
          <w:bCs/>
          <w:sz w:val="24"/>
          <w:lang w:eastAsia="zh-CN"/>
        </w:rPr>
        <w:t>又回顾</w:t>
      </w:r>
      <w:r w:rsidRPr="008B3828">
        <w:rPr>
          <w:sz w:val="24"/>
          <w:lang w:eastAsia="zh-CN"/>
        </w:rPr>
        <w:t>《卡塔赫纳生物安全议定书》</w:t>
      </w:r>
      <w:r w:rsidR="00C30A63">
        <w:rPr>
          <w:rStyle w:val="FootnoteReference"/>
          <w:sz w:val="24"/>
          <w:lang w:eastAsia="zh-CN"/>
        </w:rPr>
        <w:footnoteReference w:id="3"/>
      </w:r>
      <w:r w:rsidRPr="008B3828">
        <w:rPr>
          <w:sz w:val="24"/>
          <w:lang w:eastAsia="zh-CN"/>
        </w:rPr>
        <w:t>执行计划</w:t>
      </w:r>
      <w:r w:rsidR="00C30A63">
        <w:rPr>
          <w:rFonts w:hint="eastAsia"/>
          <w:sz w:val="24"/>
          <w:lang w:eastAsia="zh-CN"/>
        </w:rPr>
        <w:t xml:space="preserve"> </w:t>
      </w:r>
      <w:r w:rsidRPr="008B3828">
        <w:rPr>
          <w:sz w:val="24"/>
          <w:vertAlign w:val="superscript"/>
          <w:lang w:val="en-GB"/>
        </w:rPr>
        <w:footnoteReference w:id="4"/>
      </w:r>
      <w:r w:rsidR="00D73EA9">
        <w:rPr>
          <w:rFonts w:hint="eastAsia"/>
          <w:sz w:val="24"/>
          <w:lang w:eastAsia="zh-CN"/>
        </w:rPr>
        <w:t>和</w:t>
      </w:r>
      <w:r w:rsidRPr="008B3828">
        <w:rPr>
          <w:sz w:val="24"/>
          <w:lang w:eastAsia="zh-CN"/>
        </w:rPr>
        <w:t>能力建设行动计划</w:t>
      </w:r>
      <w:r w:rsidRPr="008B3828">
        <w:rPr>
          <w:sz w:val="24"/>
          <w:vertAlign w:val="superscript"/>
          <w:lang w:val="en-GB"/>
        </w:rPr>
        <w:footnoteReference w:id="5"/>
      </w:r>
      <w:r w:rsidR="00D73EA9" w:rsidRPr="008B3828">
        <w:rPr>
          <w:sz w:val="24"/>
          <w:lang w:eastAsia="zh-CN"/>
        </w:rPr>
        <w:t>的</w:t>
      </w:r>
      <w:r w:rsidR="00D73EA9">
        <w:rPr>
          <w:rFonts w:hint="eastAsia"/>
          <w:sz w:val="24"/>
          <w:lang w:eastAsia="zh-CN"/>
        </w:rPr>
        <w:t>长期</w:t>
      </w:r>
      <w:r w:rsidR="00D73EA9" w:rsidRPr="008B3828">
        <w:rPr>
          <w:sz w:val="24"/>
          <w:lang w:eastAsia="zh-CN"/>
        </w:rPr>
        <w:t>目标</w:t>
      </w:r>
      <w:r w:rsidR="00D73EA9" w:rsidRPr="008B3828">
        <w:rPr>
          <w:sz w:val="24"/>
          <w:lang w:eastAsia="zh-CN"/>
        </w:rPr>
        <w:t xml:space="preserve"> A.10</w:t>
      </w:r>
      <w:r w:rsidR="00D73EA9">
        <w:rPr>
          <w:rFonts w:hint="eastAsia"/>
          <w:sz w:val="24"/>
          <w:lang w:eastAsia="zh-CN"/>
        </w:rPr>
        <w:t>，</w:t>
      </w:r>
    </w:p>
    <w:p w14:paraId="13E1FE9A" w14:textId="26BC9FD0" w:rsidR="008B3828" w:rsidRPr="008B3828" w:rsidRDefault="008B3828" w:rsidP="00C30A63">
      <w:pPr>
        <w:tabs>
          <w:tab w:val="clear" w:pos="567"/>
          <w:tab w:val="clear" w:pos="1134"/>
          <w:tab w:val="clear" w:pos="1701"/>
          <w:tab w:val="clear" w:pos="2268"/>
        </w:tabs>
        <w:spacing w:before="120" w:after="120"/>
        <w:ind w:left="490" w:firstLine="490"/>
        <w:rPr>
          <w:iCs/>
          <w:sz w:val="24"/>
          <w:lang w:val="en-GB" w:eastAsia="zh-CN"/>
        </w:rPr>
      </w:pPr>
      <w:r w:rsidRPr="008B3828">
        <w:rPr>
          <w:iCs/>
          <w:sz w:val="24"/>
          <w:lang w:val="en-GB" w:eastAsia="zh-CN"/>
        </w:rPr>
        <w:t>1.</w:t>
      </w:r>
      <w:r w:rsidRPr="008B3828">
        <w:rPr>
          <w:i/>
          <w:sz w:val="24"/>
          <w:lang w:val="en-GB" w:eastAsia="zh-CN"/>
        </w:rPr>
        <w:tab/>
      </w:r>
      <w:r w:rsidRPr="008B3828">
        <w:rPr>
          <w:rFonts w:ascii="KaiTi" w:eastAsia="KaiTi" w:hAnsi="KaiTi"/>
          <w:bCs/>
          <w:sz w:val="24"/>
          <w:lang w:eastAsia="zh-CN"/>
        </w:rPr>
        <w:t>欢迎</w:t>
      </w:r>
      <w:r w:rsidRPr="008B3828">
        <w:rPr>
          <w:iCs/>
          <w:sz w:val="24"/>
          <w:lang w:eastAsia="zh-CN"/>
        </w:rPr>
        <w:t>自第</w:t>
      </w:r>
      <w:r w:rsidRPr="008B3828">
        <w:rPr>
          <w:iCs/>
          <w:sz w:val="24"/>
          <w:lang w:eastAsia="zh-CN"/>
        </w:rPr>
        <w:t xml:space="preserve"> </w:t>
      </w:r>
      <w:r w:rsidRPr="005F0078">
        <w:rPr>
          <w:iCs/>
          <w:sz w:val="24"/>
          <w:lang w:eastAsia="zh-CN"/>
        </w:rPr>
        <w:t xml:space="preserve">CP-10/13 </w:t>
      </w:r>
      <w:r w:rsidRPr="008B3828">
        <w:rPr>
          <w:iCs/>
          <w:sz w:val="24"/>
          <w:lang w:eastAsia="zh-CN"/>
        </w:rPr>
        <w:t>号决定通过以来</w:t>
      </w:r>
      <w:r w:rsidR="00626DEA">
        <w:rPr>
          <w:rFonts w:hint="eastAsia"/>
          <w:iCs/>
          <w:sz w:val="24"/>
          <w:lang w:eastAsia="zh-CN"/>
        </w:rPr>
        <w:t>有又有一些</w:t>
      </w:r>
      <w:r w:rsidR="00020C3E" w:rsidRPr="00626DEA">
        <w:rPr>
          <w:rFonts w:hint="eastAsia"/>
          <w:iCs/>
          <w:sz w:val="24"/>
          <w:lang w:eastAsia="zh-CN"/>
        </w:rPr>
        <w:t>国家</w:t>
      </w:r>
      <w:r w:rsidRPr="008B3828">
        <w:rPr>
          <w:iCs/>
          <w:sz w:val="24"/>
          <w:lang w:eastAsia="zh-CN"/>
        </w:rPr>
        <w:t>交存了</w:t>
      </w:r>
      <w:r w:rsidR="00D73EA9">
        <w:rPr>
          <w:rFonts w:hint="eastAsia"/>
          <w:iCs/>
          <w:sz w:val="24"/>
          <w:lang w:eastAsia="zh-CN"/>
        </w:rPr>
        <w:t>《卡塔赫纳议定书</w:t>
      </w:r>
      <w:r w:rsidRPr="008B3828">
        <w:rPr>
          <w:bCs/>
          <w:iCs/>
          <w:sz w:val="24"/>
          <w:lang w:eastAsia="zh-CN"/>
        </w:rPr>
        <w:t>关于赔偿责任和补救的名古屋</w:t>
      </w:r>
      <w:r w:rsidRPr="008B3828">
        <w:rPr>
          <w:bCs/>
          <w:iCs/>
          <w:sz w:val="24"/>
          <w:lang w:eastAsia="zh-CN"/>
        </w:rPr>
        <w:t>-</w:t>
      </w:r>
      <w:r w:rsidRPr="008B3828">
        <w:rPr>
          <w:bCs/>
          <w:iCs/>
          <w:sz w:val="24"/>
          <w:lang w:eastAsia="zh-CN"/>
        </w:rPr>
        <w:t>吉隆坡补充议定书</w:t>
      </w:r>
      <w:r w:rsidRPr="008B3828">
        <w:rPr>
          <w:iCs/>
          <w:sz w:val="24"/>
          <w:lang w:eastAsia="zh-CN"/>
        </w:rPr>
        <w:t>》</w:t>
      </w:r>
      <w:r w:rsidRPr="008B3828">
        <w:rPr>
          <w:iCs/>
          <w:sz w:val="24"/>
          <w:vertAlign w:val="superscript"/>
          <w:lang w:val="en-GB" w:eastAsia="zh-CN"/>
        </w:rPr>
        <w:footnoteReference w:id="6"/>
      </w:r>
      <w:r w:rsidRPr="008B3828">
        <w:rPr>
          <w:iCs/>
          <w:sz w:val="24"/>
          <w:lang w:eastAsia="zh-CN"/>
        </w:rPr>
        <w:t>批准书、接受书、核准书或加入书；</w:t>
      </w:r>
    </w:p>
    <w:p w14:paraId="21F2B7B7" w14:textId="08592772" w:rsidR="008B3828" w:rsidRPr="008B3828" w:rsidRDefault="008B3828" w:rsidP="00C30A63">
      <w:pPr>
        <w:tabs>
          <w:tab w:val="clear" w:pos="567"/>
          <w:tab w:val="clear" w:pos="1134"/>
          <w:tab w:val="clear" w:pos="1701"/>
          <w:tab w:val="clear" w:pos="2268"/>
        </w:tabs>
        <w:spacing w:before="120" w:after="120"/>
        <w:ind w:left="490" w:firstLine="490"/>
        <w:rPr>
          <w:iCs/>
          <w:sz w:val="24"/>
          <w:lang w:eastAsia="zh-CN"/>
        </w:rPr>
      </w:pPr>
      <w:r w:rsidRPr="008B3828">
        <w:rPr>
          <w:iCs/>
          <w:sz w:val="24"/>
          <w:lang w:val="en-GB" w:eastAsia="zh-CN"/>
        </w:rPr>
        <w:t>2.</w:t>
      </w:r>
      <w:r w:rsidRPr="008B3828">
        <w:rPr>
          <w:i/>
          <w:sz w:val="24"/>
          <w:lang w:val="en-GB" w:eastAsia="zh-CN"/>
        </w:rPr>
        <w:tab/>
      </w:r>
      <w:r w:rsidRPr="008B3828">
        <w:rPr>
          <w:rFonts w:ascii="KaiTi" w:eastAsia="KaiTi" w:hAnsi="KaiTi"/>
          <w:sz w:val="24"/>
          <w:lang w:val="en-GB" w:eastAsia="zh-CN"/>
        </w:rPr>
        <w:t>遗憾地注意到</w:t>
      </w:r>
      <w:r w:rsidRPr="008B3828">
        <w:rPr>
          <w:sz w:val="24"/>
          <w:lang w:val="en-GB" w:eastAsia="zh-CN"/>
        </w:rPr>
        <w:t>批准《名古屋</w:t>
      </w:r>
      <w:r w:rsidRPr="008B3828">
        <w:rPr>
          <w:sz w:val="24"/>
          <w:lang w:val="en-GB" w:eastAsia="zh-CN"/>
        </w:rPr>
        <w:t>-</w:t>
      </w:r>
      <w:r w:rsidRPr="008B3828">
        <w:rPr>
          <w:sz w:val="24"/>
          <w:lang w:val="en-GB" w:eastAsia="zh-CN"/>
        </w:rPr>
        <w:t>吉隆坡补充议定书》的《卡塔赫纳议定书》缔约方数量有限，</w:t>
      </w:r>
      <w:r w:rsidRPr="008B3828">
        <w:rPr>
          <w:bCs/>
          <w:sz w:val="24"/>
          <w:lang w:eastAsia="zh-CN"/>
        </w:rPr>
        <w:t>邀请</w:t>
      </w:r>
      <w:r w:rsidRPr="008B3828">
        <w:rPr>
          <w:iCs/>
          <w:sz w:val="24"/>
          <w:lang w:eastAsia="zh-CN"/>
        </w:rPr>
        <w:t>所有尚未交存《补充议定书》批准书、接受书、核准书或加入书的《卡塔赫纳议定书》缔约方尽快交存这些文书；</w:t>
      </w:r>
      <w:r w:rsidRPr="008B3828">
        <w:rPr>
          <w:iCs/>
          <w:sz w:val="24"/>
          <w:lang w:eastAsia="zh-CN"/>
        </w:rPr>
        <w:t xml:space="preserve"> </w:t>
      </w:r>
    </w:p>
    <w:p w14:paraId="5FF117D6" w14:textId="1581B837" w:rsidR="008B3828" w:rsidRPr="008B3828" w:rsidRDefault="008B3828" w:rsidP="00C30A63">
      <w:pPr>
        <w:tabs>
          <w:tab w:val="clear" w:pos="567"/>
          <w:tab w:val="clear" w:pos="1134"/>
          <w:tab w:val="clear" w:pos="1701"/>
          <w:tab w:val="clear" w:pos="2268"/>
        </w:tabs>
        <w:spacing w:before="120" w:after="120"/>
        <w:ind w:left="490" w:firstLine="490"/>
        <w:rPr>
          <w:rFonts w:eastAsiaTheme="minorEastAsia"/>
          <w:b/>
          <w:bCs/>
          <w:caps/>
          <w:sz w:val="24"/>
          <w:lang w:val="en-GB" w:eastAsia="zh-CN"/>
        </w:rPr>
      </w:pPr>
      <w:r w:rsidRPr="008B3828">
        <w:rPr>
          <w:sz w:val="24"/>
          <w:lang w:val="en-GB" w:eastAsia="zh-CN"/>
        </w:rPr>
        <w:lastRenderedPageBreak/>
        <w:t>3.</w:t>
      </w:r>
      <w:r w:rsidRPr="008B3828">
        <w:rPr>
          <w:i/>
          <w:iCs/>
          <w:sz w:val="24"/>
          <w:lang w:val="en-GB" w:eastAsia="zh-CN"/>
        </w:rPr>
        <w:tab/>
      </w:r>
      <w:r w:rsidRPr="008B3828">
        <w:rPr>
          <w:rFonts w:ascii="KaiTi" w:eastAsia="KaiTi" w:hAnsi="KaiTi"/>
          <w:bCs/>
          <w:sz w:val="24"/>
          <w:lang w:eastAsia="zh-CN"/>
        </w:rPr>
        <w:t>欢迎</w:t>
      </w:r>
      <w:r w:rsidRPr="008B3828">
        <w:rPr>
          <w:sz w:val="24"/>
          <w:lang w:eastAsia="zh-CN"/>
        </w:rPr>
        <w:t>在生物安全信息交换所</w:t>
      </w:r>
      <w:r w:rsidR="00AE11A4">
        <w:rPr>
          <w:rFonts w:hint="eastAsia"/>
          <w:sz w:val="24"/>
          <w:lang w:eastAsia="zh-CN"/>
        </w:rPr>
        <w:t>公布</w:t>
      </w:r>
      <w:r w:rsidR="00626DEA">
        <w:rPr>
          <w:rFonts w:hint="eastAsia"/>
          <w:sz w:val="24"/>
          <w:lang w:eastAsia="zh-CN"/>
        </w:rPr>
        <w:t>的</w:t>
      </w:r>
      <w:r w:rsidRPr="008B3828">
        <w:rPr>
          <w:sz w:val="24"/>
          <w:lang w:eastAsia="zh-CN"/>
        </w:rPr>
        <w:t>更多</w:t>
      </w:r>
      <w:r w:rsidR="00626DEA">
        <w:rPr>
          <w:rFonts w:hint="eastAsia"/>
          <w:sz w:val="24"/>
          <w:lang w:eastAsia="zh-CN"/>
        </w:rPr>
        <w:t>信息</w:t>
      </w:r>
      <w:r w:rsidRPr="008B3828">
        <w:rPr>
          <w:sz w:val="24"/>
          <w:lang w:eastAsia="zh-CN"/>
        </w:rPr>
        <w:t>，提供履行《名古屋</w:t>
      </w:r>
      <w:r w:rsidRPr="008B3828">
        <w:rPr>
          <w:sz w:val="24"/>
          <w:lang w:eastAsia="zh-CN"/>
        </w:rPr>
        <w:t>-</w:t>
      </w:r>
      <w:r w:rsidRPr="008B3828">
        <w:rPr>
          <w:sz w:val="24"/>
          <w:lang w:eastAsia="zh-CN"/>
        </w:rPr>
        <w:t>吉隆坡补充议定书》第</w:t>
      </w:r>
      <w:r w:rsidRPr="008B3828">
        <w:rPr>
          <w:sz w:val="24"/>
          <w:lang w:eastAsia="zh-CN"/>
        </w:rPr>
        <w:t xml:space="preserve"> 5 </w:t>
      </w:r>
      <w:r w:rsidRPr="008B3828">
        <w:rPr>
          <w:sz w:val="24"/>
          <w:lang w:eastAsia="zh-CN"/>
        </w:rPr>
        <w:t>条所列职能的主管当局的详细联系方式；</w:t>
      </w:r>
    </w:p>
    <w:p w14:paraId="3F2C47EE" w14:textId="77777777" w:rsidR="008B3828" w:rsidRPr="008B3828" w:rsidRDefault="008B3828" w:rsidP="00C30A63">
      <w:pPr>
        <w:tabs>
          <w:tab w:val="clear" w:pos="567"/>
          <w:tab w:val="clear" w:pos="1134"/>
          <w:tab w:val="clear" w:pos="1701"/>
          <w:tab w:val="clear" w:pos="2268"/>
        </w:tabs>
        <w:spacing w:before="120" w:after="120"/>
        <w:ind w:left="490" w:firstLine="490"/>
        <w:rPr>
          <w:rFonts w:eastAsiaTheme="minorEastAsia"/>
          <w:b/>
          <w:bCs/>
          <w:caps/>
          <w:sz w:val="24"/>
          <w:lang w:val="en-GB" w:eastAsia="zh-CN"/>
        </w:rPr>
      </w:pPr>
      <w:r w:rsidRPr="008B3828">
        <w:rPr>
          <w:rFonts w:eastAsiaTheme="minorEastAsia"/>
          <w:iCs/>
          <w:sz w:val="24"/>
          <w:lang w:val="en-GB" w:eastAsia="zh-CN"/>
        </w:rPr>
        <w:t>4.</w:t>
      </w:r>
      <w:r w:rsidRPr="008B3828">
        <w:rPr>
          <w:rFonts w:eastAsiaTheme="minorEastAsia"/>
          <w:i/>
          <w:sz w:val="24"/>
          <w:lang w:val="en-GB" w:eastAsia="zh-CN"/>
        </w:rPr>
        <w:tab/>
      </w:r>
      <w:r w:rsidRPr="008B3828">
        <w:rPr>
          <w:rFonts w:eastAsia="KaiTi" w:hint="eastAsia"/>
          <w:bCs/>
          <w:sz w:val="24"/>
          <w:lang w:eastAsia="zh-CN"/>
        </w:rPr>
        <w:t>提醒</w:t>
      </w:r>
      <w:r w:rsidRPr="008B3828">
        <w:rPr>
          <w:iCs/>
          <w:sz w:val="24"/>
          <w:lang w:eastAsia="zh-CN"/>
        </w:rPr>
        <w:t>《</w:t>
      </w:r>
      <w:r w:rsidRPr="008B3828">
        <w:rPr>
          <w:sz w:val="24"/>
          <w:lang w:eastAsia="zh-CN"/>
        </w:rPr>
        <w:t>名古屋</w:t>
      </w:r>
      <w:r w:rsidRPr="008B3828">
        <w:rPr>
          <w:sz w:val="24"/>
          <w:lang w:eastAsia="zh-CN"/>
        </w:rPr>
        <w:t>-</w:t>
      </w:r>
      <w:r w:rsidRPr="008B3828">
        <w:rPr>
          <w:sz w:val="24"/>
          <w:lang w:eastAsia="zh-CN"/>
        </w:rPr>
        <w:t>吉隆坡</w:t>
      </w:r>
      <w:r w:rsidRPr="008B3828">
        <w:rPr>
          <w:iCs/>
          <w:sz w:val="24"/>
          <w:lang w:eastAsia="zh-CN"/>
        </w:rPr>
        <w:t>补充议定书》缔约方指定一个主管当局，履行《补充议定书》第</w:t>
      </w:r>
      <w:r w:rsidRPr="008B3828">
        <w:rPr>
          <w:iCs/>
          <w:sz w:val="24"/>
          <w:lang w:eastAsia="zh-CN"/>
        </w:rPr>
        <w:t xml:space="preserve"> 5 </w:t>
      </w:r>
      <w:r w:rsidRPr="008B3828">
        <w:rPr>
          <w:iCs/>
          <w:sz w:val="24"/>
          <w:lang w:eastAsia="zh-CN"/>
        </w:rPr>
        <w:t>条所列职能，并使用生物安全信息交换所为此目的提供的通用格式公布关于主管当局的信息；</w:t>
      </w:r>
    </w:p>
    <w:p w14:paraId="20D0517A" w14:textId="2C84C244" w:rsidR="008B3828" w:rsidRPr="008B3828" w:rsidRDefault="008B3828" w:rsidP="00C30A63">
      <w:pPr>
        <w:tabs>
          <w:tab w:val="clear" w:pos="567"/>
          <w:tab w:val="clear" w:pos="1134"/>
          <w:tab w:val="clear" w:pos="1701"/>
          <w:tab w:val="clear" w:pos="2268"/>
        </w:tabs>
        <w:spacing w:before="120" w:after="120"/>
        <w:ind w:left="490" w:firstLine="490"/>
        <w:rPr>
          <w:b/>
          <w:bCs/>
          <w:caps/>
          <w:sz w:val="24"/>
          <w:lang w:val="en-GB" w:eastAsia="zh-CN"/>
        </w:rPr>
      </w:pPr>
      <w:r w:rsidRPr="008B3828">
        <w:rPr>
          <w:rFonts w:eastAsiaTheme="minorEastAsia"/>
          <w:sz w:val="24"/>
          <w:lang w:val="en-GB" w:eastAsia="zh-CN"/>
        </w:rPr>
        <w:t>5.</w:t>
      </w:r>
      <w:r w:rsidRPr="008B3828">
        <w:rPr>
          <w:rFonts w:eastAsiaTheme="minorEastAsia"/>
          <w:i/>
          <w:iCs/>
          <w:sz w:val="24"/>
          <w:lang w:val="en-GB" w:eastAsia="zh-CN"/>
        </w:rPr>
        <w:tab/>
      </w:r>
      <w:r w:rsidRPr="008B3828">
        <w:rPr>
          <w:rFonts w:ascii="KaiTi" w:eastAsia="KaiTi" w:hAnsi="KaiTi"/>
          <w:bCs/>
          <w:sz w:val="24"/>
          <w:lang w:eastAsia="zh-CN"/>
        </w:rPr>
        <w:t>欢迎</w:t>
      </w:r>
      <w:r w:rsidRPr="008B3828">
        <w:rPr>
          <w:sz w:val="24"/>
          <w:lang w:eastAsia="zh-CN"/>
        </w:rPr>
        <w:t>缔约方提供</w:t>
      </w:r>
      <w:r w:rsidR="00626DEA">
        <w:rPr>
          <w:rFonts w:hint="eastAsia"/>
          <w:sz w:val="24"/>
          <w:lang w:eastAsia="zh-CN"/>
        </w:rPr>
        <w:t>的</w:t>
      </w:r>
      <w:r w:rsidRPr="008B3828">
        <w:rPr>
          <w:sz w:val="24"/>
          <w:lang w:eastAsia="zh-CN"/>
        </w:rPr>
        <w:t>信息，说明针对改性活生物体所造成损害提供财务担保的现有措施，同时遗憾地注意到只有少数缔约方提供了这些信息；</w:t>
      </w:r>
    </w:p>
    <w:p w14:paraId="72D26AE4" w14:textId="5EA861DC" w:rsidR="008B3828" w:rsidRPr="008B3828" w:rsidRDefault="008B3828" w:rsidP="00C30A63">
      <w:pPr>
        <w:tabs>
          <w:tab w:val="clear" w:pos="567"/>
          <w:tab w:val="clear" w:pos="1134"/>
          <w:tab w:val="clear" w:pos="1701"/>
          <w:tab w:val="clear" w:pos="2268"/>
        </w:tabs>
        <w:spacing w:before="120" w:after="120"/>
        <w:ind w:left="490" w:firstLine="490"/>
        <w:rPr>
          <w:sz w:val="24"/>
          <w:lang w:val="en-GB" w:eastAsia="zh-CN"/>
        </w:rPr>
      </w:pPr>
      <w:r w:rsidRPr="008B3828">
        <w:rPr>
          <w:sz w:val="24"/>
          <w:lang w:val="en-GB" w:eastAsia="zh-CN"/>
        </w:rPr>
        <w:t>6.</w:t>
      </w:r>
      <w:r w:rsidRPr="008B3828">
        <w:rPr>
          <w:i/>
          <w:iCs/>
          <w:sz w:val="24"/>
          <w:lang w:val="en-GB" w:eastAsia="zh-CN"/>
        </w:rPr>
        <w:tab/>
      </w:r>
      <w:r w:rsidRPr="00626DEA">
        <w:rPr>
          <w:rFonts w:ascii="KaiTi" w:eastAsia="KaiTi" w:hAnsi="KaiTi"/>
          <w:bCs/>
          <w:spacing w:val="-10"/>
          <w:sz w:val="24"/>
          <w:lang w:eastAsia="zh-CN"/>
        </w:rPr>
        <w:t>邀请</w:t>
      </w:r>
      <w:r w:rsidRPr="00626DEA">
        <w:rPr>
          <w:spacing w:val="-10"/>
          <w:sz w:val="24"/>
          <w:lang w:eastAsia="zh-CN"/>
        </w:rPr>
        <w:t>缔约方在其第五次国家报告中提供关于财务担保机制的信息以及关于执行《</w:t>
      </w:r>
      <w:r w:rsidR="00AE11A4" w:rsidRPr="00626DEA">
        <w:rPr>
          <w:spacing w:val="-10"/>
          <w:sz w:val="24"/>
          <w:lang w:eastAsia="zh-CN"/>
        </w:rPr>
        <w:t>名古屋</w:t>
      </w:r>
      <w:r w:rsidR="00AE11A4" w:rsidRPr="00626DEA">
        <w:rPr>
          <w:spacing w:val="-10"/>
          <w:sz w:val="24"/>
          <w:lang w:eastAsia="zh-CN"/>
        </w:rPr>
        <w:t>-</w:t>
      </w:r>
      <w:r w:rsidR="00AE11A4" w:rsidRPr="00626DEA">
        <w:rPr>
          <w:spacing w:val="-10"/>
          <w:sz w:val="24"/>
          <w:lang w:eastAsia="zh-CN"/>
        </w:rPr>
        <w:t>吉隆坡</w:t>
      </w:r>
      <w:r w:rsidRPr="00626DEA">
        <w:rPr>
          <w:spacing w:val="-10"/>
          <w:sz w:val="24"/>
          <w:lang w:eastAsia="zh-CN"/>
        </w:rPr>
        <w:t>补充议定书》的国家措施的其他信息，并请</w:t>
      </w:r>
      <w:r w:rsidR="00D73EA9" w:rsidRPr="00626DEA">
        <w:rPr>
          <w:rFonts w:hint="eastAsia"/>
          <w:spacing w:val="-10"/>
          <w:sz w:val="24"/>
          <w:lang w:eastAsia="zh-CN"/>
        </w:rPr>
        <w:t>《生物多样性公约》</w:t>
      </w:r>
      <w:r w:rsidR="00D73EA9" w:rsidRPr="00626DEA">
        <w:rPr>
          <w:rStyle w:val="FootnoteReference"/>
          <w:spacing w:val="-10"/>
          <w:sz w:val="24"/>
          <w:lang w:eastAsia="zh-CN"/>
        </w:rPr>
        <w:footnoteReference w:id="7"/>
      </w:r>
      <w:r w:rsidRPr="00626DEA">
        <w:rPr>
          <w:spacing w:val="-10"/>
          <w:sz w:val="24"/>
          <w:lang w:eastAsia="zh-CN"/>
        </w:rPr>
        <w:t>执行秘书在编写关于《补充议定书》成效的第一次评估和审查文件时利用这些信息</w:t>
      </w:r>
      <w:r w:rsidRPr="00626DEA">
        <w:rPr>
          <w:spacing w:val="-10"/>
          <w:sz w:val="24"/>
          <w:vertAlign w:val="superscript"/>
          <w:lang w:val="en-GB"/>
        </w:rPr>
        <w:footnoteReference w:id="8"/>
      </w:r>
      <w:r w:rsidRPr="00626DEA">
        <w:rPr>
          <w:spacing w:val="-10"/>
          <w:sz w:val="24"/>
          <w:vertAlign w:val="superscript"/>
          <w:lang w:val="en-GB" w:eastAsia="zh-CN"/>
        </w:rPr>
        <w:t xml:space="preserve"> </w:t>
      </w:r>
      <w:r w:rsidR="00AE11A4" w:rsidRPr="00626DEA">
        <w:rPr>
          <w:spacing w:val="-10"/>
          <w:sz w:val="24"/>
          <w:lang w:eastAsia="zh-CN"/>
        </w:rPr>
        <w:t>；</w:t>
      </w:r>
    </w:p>
    <w:p w14:paraId="104F0623" w14:textId="2B899347" w:rsidR="008B3828" w:rsidRPr="008B3828" w:rsidRDefault="0027286E" w:rsidP="00C30A63">
      <w:pPr>
        <w:tabs>
          <w:tab w:val="clear" w:pos="567"/>
          <w:tab w:val="clear" w:pos="1134"/>
          <w:tab w:val="clear" w:pos="1701"/>
          <w:tab w:val="clear" w:pos="2268"/>
        </w:tabs>
        <w:spacing w:before="120" w:after="120"/>
        <w:ind w:left="490" w:firstLine="490"/>
        <w:rPr>
          <w:sz w:val="24"/>
          <w:lang w:eastAsia="zh-CN"/>
        </w:rPr>
      </w:pPr>
      <w:r>
        <w:rPr>
          <w:rFonts w:hint="eastAsia"/>
          <w:sz w:val="24"/>
          <w:lang w:val="en-GB" w:eastAsia="zh-CN"/>
        </w:rPr>
        <w:t>7</w:t>
      </w:r>
      <w:r w:rsidR="008B3828" w:rsidRPr="008B3828">
        <w:rPr>
          <w:sz w:val="24"/>
          <w:lang w:val="en-GB" w:eastAsia="zh-CN"/>
        </w:rPr>
        <w:t>.</w:t>
      </w:r>
      <w:r w:rsidR="00C30A63">
        <w:rPr>
          <w:i/>
          <w:iCs/>
          <w:sz w:val="24"/>
          <w:lang w:val="en-GB" w:eastAsia="zh-CN"/>
        </w:rPr>
        <w:tab/>
      </w:r>
      <w:r w:rsidR="008B3828" w:rsidRPr="008B3828">
        <w:rPr>
          <w:rFonts w:ascii="KaiTi" w:eastAsia="KaiTi" w:hAnsi="KaiTi"/>
          <w:bCs/>
          <w:sz w:val="24"/>
          <w:lang w:eastAsia="zh-CN"/>
        </w:rPr>
        <w:t>邀请</w:t>
      </w:r>
      <w:r w:rsidR="008B3828" w:rsidRPr="008B3828">
        <w:rPr>
          <w:sz w:val="24"/>
          <w:lang w:eastAsia="zh-CN"/>
        </w:rPr>
        <w:t>缔约方、其他国家政府和组织按照《卡塔赫纳议定书》执行计划</w:t>
      </w:r>
      <w:r w:rsidR="00AE11A4" w:rsidRPr="008B3828">
        <w:rPr>
          <w:sz w:val="24"/>
          <w:lang w:eastAsia="zh-CN"/>
        </w:rPr>
        <w:t>和能力建设行动计划</w:t>
      </w:r>
      <w:r w:rsidR="008B3828" w:rsidRPr="008B3828">
        <w:rPr>
          <w:sz w:val="24"/>
          <w:lang w:eastAsia="zh-CN"/>
        </w:rPr>
        <w:t>的</w:t>
      </w:r>
      <w:r w:rsidR="00AE11A4">
        <w:rPr>
          <w:rFonts w:hint="eastAsia"/>
          <w:sz w:val="24"/>
          <w:lang w:eastAsia="zh-CN"/>
        </w:rPr>
        <w:t>长期</w:t>
      </w:r>
      <w:r w:rsidR="008B3828" w:rsidRPr="008B3828">
        <w:rPr>
          <w:sz w:val="24"/>
          <w:lang w:eastAsia="zh-CN"/>
        </w:rPr>
        <w:t>目标</w:t>
      </w:r>
      <w:r w:rsidR="008B3828" w:rsidRPr="008B3828">
        <w:rPr>
          <w:sz w:val="24"/>
          <w:lang w:eastAsia="zh-CN"/>
        </w:rPr>
        <w:t xml:space="preserve"> A.10</w:t>
      </w:r>
      <w:r w:rsidR="008B3828" w:rsidRPr="008B3828">
        <w:rPr>
          <w:sz w:val="24"/>
          <w:lang w:eastAsia="zh-CN"/>
        </w:rPr>
        <w:t>开展能力建设和提高认识活动，支持批准和有效执行《名古屋</w:t>
      </w:r>
      <w:r w:rsidR="008B3828" w:rsidRPr="008B3828">
        <w:rPr>
          <w:sz w:val="24"/>
          <w:lang w:eastAsia="zh-CN"/>
        </w:rPr>
        <w:t>-</w:t>
      </w:r>
      <w:r w:rsidR="008B3828" w:rsidRPr="008B3828">
        <w:rPr>
          <w:sz w:val="24"/>
          <w:lang w:eastAsia="zh-CN"/>
        </w:rPr>
        <w:t>吉隆坡补充议定书》，并鼓励捐助方为此提供必要资源</w:t>
      </w:r>
      <w:r w:rsidR="00C30A63">
        <w:rPr>
          <w:rFonts w:hint="eastAsia"/>
          <w:sz w:val="24"/>
          <w:lang w:eastAsia="zh-CN"/>
        </w:rPr>
        <w:t>；</w:t>
      </w:r>
    </w:p>
    <w:p w14:paraId="464C0DDE" w14:textId="7B7DCAE6" w:rsidR="008B3828" w:rsidRPr="00C30A63" w:rsidRDefault="0027286E" w:rsidP="00C30A63">
      <w:pPr>
        <w:tabs>
          <w:tab w:val="clear" w:pos="567"/>
          <w:tab w:val="clear" w:pos="1134"/>
          <w:tab w:val="clear" w:pos="1701"/>
          <w:tab w:val="clear" w:pos="2268"/>
        </w:tabs>
        <w:spacing w:before="120" w:after="120"/>
        <w:ind w:left="490" w:firstLine="490"/>
        <w:rPr>
          <w:sz w:val="24"/>
          <w:lang w:eastAsia="zh-CN"/>
        </w:rPr>
      </w:pPr>
      <w:r>
        <w:rPr>
          <w:rFonts w:hint="eastAsia"/>
          <w:sz w:val="24"/>
          <w:lang w:eastAsia="zh-CN"/>
        </w:rPr>
        <w:t>8</w:t>
      </w:r>
      <w:r w:rsidR="008B3828" w:rsidRPr="00C30A63">
        <w:rPr>
          <w:sz w:val="24"/>
          <w:lang w:eastAsia="zh-CN"/>
        </w:rPr>
        <w:t>．</w:t>
      </w:r>
      <w:r w:rsidR="00C30A63">
        <w:rPr>
          <w:sz w:val="24"/>
          <w:lang w:eastAsia="zh-CN"/>
        </w:rPr>
        <w:tab/>
      </w:r>
      <w:r w:rsidR="008B3828" w:rsidRPr="00C30A63">
        <w:rPr>
          <w:rFonts w:ascii="KaiTi" w:eastAsia="KaiTi" w:hAnsi="KaiTi"/>
          <w:sz w:val="24"/>
          <w:lang w:eastAsia="zh-CN"/>
        </w:rPr>
        <w:t>请</w:t>
      </w:r>
      <w:r w:rsidR="008B3828" w:rsidRPr="00C30A63">
        <w:rPr>
          <w:sz w:val="24"/>
          <w:lang w:eastAsia="zh-CN"/>
        </w:rPr>
        <w:t>执行秘书在资源允许的情况下，继续开展提高认识和能力建设活动，并为缔约方在国家一级执行《名古屋</w:t>
      </w:r>
      <w:r w:rsidR="008B3828" w:rsidRPr="00C30A63">
        <w:rPr>
          <w:sz w:val="24"/>
          <w:lang w:eastAsia="zh-CN"/>
        </w:rPr>
        <w:t>-</w:t>
      </w:r>
      <w:r w:rsidR="008B3828" w:rsidRPr="00C30A63">
        <w:rPr>
          <w:sz w:val="24"/>
          <w:lang w:eastAsia="zh-CN"/>
        </w:rPr>
        <w:t>吉隆坡补充议定书》提供支持。</w:t>
      </w:r>
    </w:p>
    <w:p w14:paraId="6BF89611" w14:textId="77777777" w:rsidR="00C30A63" w:rsidRDefault="00C30A63" w:rsidP="00F14609">
      <w:pPr>
        <w:tabs>
          <w:tab w:val="clear" w:pos="567"/>
          <w:tab w:val="clear" w:pos="1134"/>
          <w:tab w:val="clear" w:pos="1701"/>
          <w:tab w:val="clear" w:pos="2268"/>
        </w:tabs>
        <w:adjustRightInd w:val="0"/>
        <w:snapToGrid w:val="0"/>
        <w:spacing w:before="120" w:after="120" w:line="240" w:lineRule="atLeast"/>
        <w:jc w:val="center"/>
        <w:rPr>
          <w:rFonts w:ascii="SimHei" w:eastAsia="SimHei" w:hAnsi="SimHei"/>
          <w:sz w:val="28"/>
          <w:szCs w:val="28"/>
          <w:lang w:val="en-GB" w:eastAsia="zh-CN"/>
        </w:rPr>
      </w:pPr>
    </w:p>
    <w:p w14:paraId="6F8991B9" w14:textId="694A8C63" w:rsidR="00F14609" w:rsidRPr="00F14609" w:rsidRDefault="00F14609" w:rsidP="00F14609">
      <w:pPr>
        <w:tabs>
          <w:tab w:val="clear" w:pos="567"/>
          <w:tab w:val="clear" w:pos="1134"/>
          <w:tab w:val="clear" w:pos="1701"/>
          <w:tab w:val="clear" w:pos="2268"/>
        </w:tabs>
        <w:adjustRightInd w:val="0"/>
        <w:snapToGrid w:val="0"/>
        <w:spacing w:before="120" w:after="120" w:line="240" w:lineRule="atLeast"/>
        <w:jc w:val="center"/>
        <w:rPr>
          <w:rFonts w:ascii="SimHei" w:eastAsia="SimHei" w:hAnsi="SimHei"/>
          <w:sz w:val="28"/>
          <w:szCs w:val="28"/>
          <w:lang w:eastAsia="zh-CN"/>
        </w:rPr>
      </w:pPr>
      <w:r w:rsidRPr="00F14609">
        <w:rPr>
          <w:rFonts w:ascii="SimHei" w:eastAsia="SimHei" w:hAnsi="SimHei"/>
          <w:sz w:val="28"/>
          <w:szCs w:val="28"/>
          <w:lang w:val="en-GB" w:eastAsia="zh-CN"/>
        </w:rPr>
        <w:t>__________</w:t>
      </w:r>
    </w:p>
    <w:sectPr w:rsidR="00F14609" w:rsidRPr="00F14609" w:rsidSect="00F14609">
      <w:headerReference w:type="even" r:id="rId14"/>
      <w:headerReference w:type="default" r:id="rId15"/>
      <w:footerReference w:type="even" r:id="rId16"/>
      <w:footerReference w:type="default" r:id="rId17"/>
      <w:headerReference w:type="first" r:id="rId18"/>
      <w:pgSz w:w="12240" w:h="15840"/>
      <w:pgMar w:top="1134" w:right="144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31E0" w14:textId="77777777" w:rsidR="00FD5C1A" w:rsidRDefault="00FD5C1A" w:rsidP="00A96B21">
      <w:r>
        <w:separator/>
      </w:r>
    </w:p>
  </w:endnote>
  <w:endnote w:type="continuationSeparator" w:id="0">
    <w:p w14:paraId="6E4053F0" w14:textId="77777777" w:rsidR="00FD5C1A" w:rsidRDefault="00FD5C1A" w:rsidP="00A96B21">
      <w:r>
        <w:continuationSeparator/>
      </w:r>
    </w:p>
  </w:endnote>
  <w:endnote w:type="continuationNotice" w:id="1">
    <w:p w14:paraId="36B48990" w14:textId="77777777" w:rsidR="00FD5C1A" w:rsidRDefault="00FD5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50038" w14:textId="77777777" w:rsidR="00FD5C1A" w:rsidRDefault="00FD5C1A" w:rsidP="00A96B21">
      <w:r>
        <w:separator/>
      </w:r>
    </w:p>
  </w:footnote>
  <w:footnote w:type="continuationSeparator" w:id="0">
    <w:p w14:paraId="12364DE3" w14:textId="77777777" w:rsidR="00FD5C1A" w:rsidRDefault="00FD5C1A" w:rsidP="00A96B21">
      <w:r>
        <w:continuationSeparator/>
      </w:r>
    </w:p>
  </w:footnote>
  <w:footnote w:type="continuationNotice" w:id="1">
    <w:p w14:paraId="431C24B6" w14:textId="77777777" w:rsidR="00FD5C1A" w:rsidRDefault="00FD5C1A"/>
  </w:footnote>
  <w:footnote w:id="2">
    <w:p w14:paraId="3BEA535C" w14:textId="3E79E865" w:rsidR="008B3828" w:rsidRPr="00AE11A4" w:rsidRDefault="008B3828" w:rsidP="00D73EA9">
      <w:pPr>
        <w:pStyle w:val="FootnoteText"/>
        <w:spacing w:after="60"/>
        <w:rPr>
          <w:sz w:val="20"/>
          <w:lang w:eastAsia="zh-CN"/>
        </w:rPr>
      </w:pPr>
      <w:r w:rsidRPr="00AE11A4">
        <w:rPr>
          <w:rStyle w:val="FootnoteReference"/>
          <w:sz w:val="20"/>
        </w:rPr>
        <w:footnoteRef/>
      </w:r>
      <w:r w:rsidRPr="00AE11A4">
        <w:rPr>
          <w:sz w:val="20"/>
          <w:lang w:eastAsia="zh-CN"/>
        </w:rPr>
        <w:t xml:space="preserve"> </w:t>
      </w:r>
      <w:r w:rsidR="00D73EA9" w:rsidRPr="00AE11A4">
        <w:rPr>
          <w:sz w:val="20"/>
          <w:lang w:eastAsia="zh-CN"/>
        </w:rPr>
        <w:t xml:space="preserve"> </w:t>
      </w:r>
      <w:r w:rsidRPr="00AE11A4">
        <w:rPr>
          <w:sz w:val="20"/>
          <w:lang w:eastAsia="zh-CN"/>
        </w:rPr>
        <w:t>根据《</w:t>
      </w:r>
      <w:r w:rsidR="00AE11A4" w:rsidRPr="00AE11A4">
        <w:rPr>
          <w:sz w:val="20"/>
          <w:lang w:val="en-GB" w:eastAsia="zh-CN"/>
        </w:rPr>
        <w:t>名古屋</w:t>
      </w:r>
      <w:r w:rsidR="00AE11A4" w:rsidRPr="00AE11A4">
        <w:rPr>
          <w:sz w:val="20"/>
          <w:lang w:val="en-GB" w:eastAsia="zh-CN"/>
        </w:rPr>
        <w:t>-</w:t>
      </w:r>
      <w:r w:rsidR="00AE11A4" w:rsidRPr="00AE11A4">
        <w:rPr>
          <w:sz w:val="20"/>
          <w:lang w:val="en-GB" w:eastAsia="zh-CN"/>
        </w:rPr>
        <w:t>吉隆坡</w:t>
      </w:r>
      <w:r w:rsidRPr="00AE11A4">
        <w:rPr>
          <w:sz w:val="20"/>
          <w:lang w:eastAsia="zh-CN"/>
        </w:rPr>
        <w:t>补充议定书》第</w:t>
      </w:r>
      <w:r w:rsidRPr="00AE11A4">
        <w:rPr>
          <w:sz w:val="20"/>
          <w:lang w:eastAsia="zh-CN"/>
        </w:rPr>
        <w:t>14</w:t>
      </w:r>
      <w:r w:rsidRPr="00AE11A4">
        <w:rPr>
          <w:sz w:val="20"/>
          <w:lang w:eastAsia="zh-CN"/>
        </w:rPr>
        <w:t>条第</w:t>
      </w:r>
      <w:r w:rsidRPr="00AE11A4">
        <w:rPr>
          <w:sz w:val="20"/>
          <w:lang w:eastAsia="zh-CN"/>
        </w:rPr>
        <w:t>1</w:t>
      </w:r>
      <w:r w:rsidRPr="00AE11A4">
        <w:rPr>
          <w:sz w:val="20"/>
          <w:lang w:eastAsia="zh-CN"/>
        </w:rPr>
        <w:t>款，并在符合《</w:t>
      </w:r>
      <w:r w:rsidR="00AE11A4">
        <w:rPr>
          <w:rFonts w:hint="eastAsia"/>
          <w:sz w:val="20"/>
          <w:lang w:eastAsia="zh-CN"/>
        </w:rPr>
        <w:t>生物多样性</w:t>
      </w:r>
      <w:r w:rsidRPr="00AE11A4">
        <w:rPr>
          <w:sz w:val="20"/>
          <w:lang w:eastAsia="zh-CN"/>
        </w:rPr>
        <w:t>公约》第</w:t>
      </w:r>
      <w:r w:rsidRPr="00AE11A4">
        <w:rPr>
          <w:sz w:val="20"/>
          <w:lang w:eastAsia="zh-CN"/>
        </w:rPr>
        <w:t>32</w:t>
      </w:r>
      <w:r w:rsidRPr="00AE11A4">
        <w:rPr>
          <w:sz w:val="20"/>
          <w:lang w:eastAsia="zh-CN"/>
        </w:rPr>
        <w:t>条第</w:t>
      </w:r>
      <w:r w:rsidRPr="00AE11A4">
        <w:rPr>
          <w:sz w:val="20"/>
          <w:lang w:eastAsia="zh-CN"/>
        </w:rPr>
        <w:t>2</w:t>
      </w:r>
      <w:r w:rsidRPr="00AE11A4">
        <w:rPr>
          <w:sz w:val="20"/>
          <w:lang w:eastAsia="zh-CN"/>
        </w:rPr>
        <w:t>款的情况下，作为</w:t>
      </w:r>
      <w:r w:rsidR="00AE11A4">
        <w:rPr>
          <w:rFonts w:hint="eastAsia"/>
          <w:sz w:val="20"/>
          <w:lang w:eastAsia="zh-CN"/>
        </w:rPr>
        <w:t>卡塔赫纳</w:t>
      </w:r>
      <w:r w:rsidRPr="00AE11A4">
        <w:rPr>
          <w:sz w:val="20"/>
          <w:lang w:eastAsia="zh-CN"/>
        </w:rPr>
        <w:t>议定书缔约方会议的缔约方大会担任补充议定书缔约方会议。因此，本决定是由《补充议定书》缔约方通过的。</w:t>
      </w:r>
    </w:p>
  </w:footnote>
  <w:footnote w:id="3">
    <w:p w14:paraId="304F38D6" w14:textId="01E313E8" w:rsidR="00C30A63" w:rsidRPr="00D73EA9" w:rsidRDefault="00C30A63" w:rsidP="00D73EA9">
      <w:pPr>
        <w:pStyle w:val="FootnoteText"/>
        <w:spacing w:after="60"/>
        <w:rPr>
          <w:sz w:val="20"/>
          <w:lang w:eastAsia="zh-CN"/>
        </w:rPr>
      </w:pPr>
      <w:r w:rsidRPr="00AE11A4">
        <w:rPr>
          <w:rStyle w:val="FootnoteReference"/>
          <w:sz w:val="20"/>
        </w:rPr>
        <w:footnoteRef/>
      </w:r>
      <w:r w:rsidRPr="00AE11A4">
        <w:rPr>
          <w:sz w:val="20"/>
          <w:lang w:eastAsia="zh-CN"/>
        </w:rPr>
        <w:t xml:space="preserve"> </w:t>
      </w:r>
      <w:r w:rsidR="00D73EA9" w:rsidRPr="00AE11A4">
        <w:rPr>
          <w:sz w:val="20"/>
          <w:lang w:eastAsia="zh-CN"/>
        </w:rPr>
        <w:t xml:space="preserve"> </w:t>
      </w:r>
      <w:r w:rsidRPr="00AE11A4">
        <w:rPr>
          <w:sz w:val="20"/>
          <w:lang w:eastAsia="zh-CN"/>
        </w:rPr>
        <w:t>联合国，《条约汇编》，第</w:t>
      </w:r>
      <w:r w:rsidRPr="00AE11A4">
        <w:rPr>
          <w:sz w:val="20"/>
          <w:lang w:eastAsia="zh-CN"/>
        </w:rPr>
        <w:t>2226</w:t>
      </w:r>
      <w:r w:rsidRPr="00AE11A4">
        <w:rPr>
          <w:sz w:val="20"/>
          <w:lang w:eastAsia="zh-CN"/>
        </w:rPr>
        <w:t>卷，第</w:t>
      </w:r>
      <w:r w:rsidRPr="00AE11A4">
        <w:rPr>
          <w:sz w:val="20"/>
          <w:lang w:eastAsia="zh-CN"/>
        </w:rPr>
        <w:t>30619</w:t>
      </w:r>
      <w:r w:rsidRPr="00AE11A4">
        <w:rPr>
          <w:sz w:val="20"/>
          <w:lang w:eastAsia="zh-CN"/>
        </w:rPr>
        <w:t>号。</w:t>
      </w:r>
    </w:p>
  </w:footnote>
  <w:footnote w:id="4">
    <w:p w14:paraId="278CBBA7" w14:textId="7F7F6233" w:rsidR="008B3828" w:rsidRPr="00D73EA9" w:rsidRDefault="008B3828" w:rsidP="00D73EA9">
      <w:pPr>
        <w:pStyle w:val="FootnoteText"/>
        <w:spacing w:after="60"/>
        <w:rPr>
          <w:sz w:val="20"/>
          <w:lang w:eastAsia="zh-CN"/>
        </w:rPr>
      </w:pPr>
      <w:r w:rsidRPr="00D73EA9">
        <w:rPr>
          <w:rStyle w:val="FootnoteReference"/>
          <w:sz w:val="20"/>
        </w:rPr>
        <w:footnoteRef/>
      </w:r>
      <w:r w:rsidRPr="00D73EA9">
        <w:rPr>
          <w:sz w:val="20"/>
          <w:lang w:eastAsia="zh-CN"/>
        </w:rPr>
        <w:t xml:space="preserve"> </w:t>
      </w:r>
      <w:r w:rsidR="00D73EA9" w:rsidRPr="00D73EA9">
        <w:rPr>
          <w:sz w:val="20"/>
          <w:lang w:eastAsia="zh-CN"/>
        </w:rPr>
        <w:t xml:space="preserve"> </w:t>
      </w:r>
      <w:r w:rsidRPr="00D73EA9">
        <w:rPr>
          <w:sz w:val="20"/>
          <w:lang w:eastAsia="zh-CN"/>
        </w:rPr>
        <w:t>第</w:t>
      </w:r>
      <w:hyperlink r:id="rId1" w:history="1">
        <w:r w:rsidRPr="00D73EA9">
          <w:rPr>
            <w:rStyle w:val="Hyperlink"/>
            <w:sz w:val="20"/>
            <w:lang w:eastAsia="zh-CN"/>
          </w:rPr>
          <w:t>CP-10/3</w:t>
        </w:r>
      </w:hyperlink>
      <w:r w:rsidRPr="00D73EA9">
        <w:rPr>
          <w:sz w:val="20"/>
          <w:lang w:eastAsia="zh-CN"/>
        </w:rPr>
        <w:t>号决定，附件。</w:t>
      </w:r>
    </w:p>
  </w:footnote>
  <w:footnote w:id="5">
    <w:p w14:paraId="5D07B73B" w14:textId="54E74433" w:rsidR="008B3828" w:rsidRPr="00D73EA9" w:rsidRDefault="008B3828" w:rsidP="00D73EA9">
      <w:pPr>
        <w:pStyle w:val="FootnoteText"/>
        <w:spacing w:after="60"/>
        <w:rPr>
          <w:sz w:val="20"/>
          <w:lang w:eastAsia="zh-CN"/>
        </w:rPr>
      </w:pPr>
      <w:r w:rsidRPr="00D73EA9">
        <w:rPr>
          <w:rStyle w:val="FootnoteReference"/>
          <w:sz w:val="20"/>
        </w:rPr>
        <w:footnoteRef/>
      </w:r>
      <w:r w:rsidRPr="00D73EA9">
        <w:rPr>
          <w:sz w:val="20"/>
          <w:lang w:eastAsia="zh-CN"/>
        </w:rPr>
        <w:t xml:space="preserve"> </w:t>
      </w:r>
      <w:r w:rsidR="00D73EA9" w:rsidRPr="00D73EA9">
        <w:rPr>
          <w:sz w:val="20"/>
          <w:lang w:eastAsia="zh-CN"/>
        </w:rPr>
        <w:t xml:space="preserve"> </w:t>
      </w:r>
      <w:r w:rsidRPr="00D73EA9">
        <w:rPr>
          <w:sz w:val="20"/>
          <w:lang w:eastAsia="zh-CN"/>
        </w:rPr>
        <w:t>第</w:t>
      </w:r>
      <w:hyperlink r:id="rId2" w:history="1">
        <w:r w:rsidRPr="00D73EA9">
          <w:rPr>
            <w:rStyle w:val="Hyperlink"/>
            <w:sz w:val="20"/>
            <w:lang w:eastAsia="zh-CN"/>
          </w:rPr>
          <w:t>CP-10/</w:t>
        </w:r>
        <w:r w:rsidR="00D73EA9" w:rsidRPr="00D73EA9">
          <w:rPr>
            <w:rStyle w:val="Hyperlink"/>
            <w:sz w:val="20"/>
            <w:lang w:eastAsia="zh-CN"/>
          </w:rPr>
          <w:t>4</w:t>
        </w:r>
      </w:hyperlink>
      <w:r w:rsidRPr="00D73EA9">
        <w:rPr>
          <w:sz w:val="20"/>
          <w:lang w:eastAsia="zh-CN"/>
        </w:rPr>
        <w:t>号决定，附件。</w:t>
      </w:r>
    </w:p>
  </w:footnote>
  <w:footnote w:id="6">
    <w:p w14:paraId="0C0D29CE" w14:textId="47304B3E" w:rsidR="008B3828" w:rsidRPr="00C30A63" w:rsidRDefault="008B3828" w:rsidP="00D73EA9">
      <w:pPr>
        <w:pStyle w:val="FootnoteText"/>
        <w:spacing w:after="60"/>
        <w:rPr>
          <w:sz w:val="20"/>
          <w:lang w:eastAsia="zh-CN"/>
        </w:rPr>
      </w:pPr>
      <w:r w:rsidRPr="00D73EA9">
        <w:rPr>
          <w:rStyle w:val="FootnoteReference"/>
          <w:sz w:val="20"/>
        </w:rPr>
        <w:footnoteRef/>
      </w:r>
      <w:r w:rsidRPr="00D73EA9">
        <w:rPr>
          <w:sz w:val="20"/>
          <w:lang w:eastAsia="zh-CN"/>
        </w:rPr>
        <w:t xml:space="preserve"> </w:t>
      </w:r>
      <w:r w:rsidR="00D73EA9" w:rsidRPr="00D73EA9">
        <w:rPr>
          <w:sz w:val="20"/>
          <w:lang w:eastAsia="zh-CN"/>
        </w:rPr>
        <w:t xml:space="preserve"> </w:t>
      </w:r>
      <w:r w:rsidRPr="00D73EA9">
        <w:rPr>
          <w:sz w:val="20"/>
          <w:lang w:eastAsia="zh-CN"/>
        </w:rPr>
        <w:t>见联合国环境规划署</w:t>
      </w:r>
      <w:r w:rsidRPr="00D73EA9">
        <w:rPr>
          <w:sz w:val="20"/>
          <w:lang w:eastAsia="zh-CN"/>
        </w:rPr>
        <w:t>UNEP/CBD/BS/COP-MOP/5/17</w:t>
      </w:r>
      <w:r w:rsidRPr="00D73EA9">
        <w:rPr>
          <w:sz w:val="20"/>
          <w:lang w:eastAsia="zh-CN"/>
        </w:rPr>
        <w:t>号文件，附件</w:t>
      </w:r>
      <w:r w:rsidRPr="00D73EA9">
        <w:rPr>
          <w:sz w:val="20"/>
          <w:lang w:eastAsia="zh-CN"/>
        </w:rPr>
        <w:t>BS-V/11</w:t>
      </w:r>
      <w:r w:rsidRPr="00D73EA9">
        <w:rPr>
          <w:sz w:val="20"/>
          <w:lang w:eastAsia="zh-CN"/>
        </w:rPr>
        <w:t>号决定。</w:t>
      </w:r>
    </w:p>
  </w:footnote>
  <w:footnote w:id="7">
    <w:p w14:paraId="77ABD173" w14:textId="5216C377" w:rsidR="00D73EA9" w:rsidRPr="00D73EA9" w:rsidRDefault="00D73EA9" w:rsidP="00D73EA9">
      <w:pPr>
        <w:pStyle w:val="FootnoteText"/>
        <w:spacing w:after="60"/>
        <w:rPr>
          <w:sz w:val="20"/>
          <w:lang w:eastAsia="zh-CN"/>
        </w:rPr>
      </w:pPr>
      <w:r w:rsidRPr="00D73EA9">
        <w:rPr>
          <w:rStyle w:val="FootnoteReference"/>
          <w:sz w:val="20"/>
        </w:rPr>
        <w:footnoteRef/>
      </w:r>
      <w:r w:rsidRPr="00D73EA9">
        <w:rPr>
          <w:sz w:val="20"/>
          <w:lang w:eastAsia="zh-CN"/>
        </w:rPr>
        <w:t xml:space="preserve">  </w:t>
      </w:r>
      <w:r w:rsidRPr="00D73EA9">
        <w:rPr>
          <w:sz w:val="20"/>
          <w:lang w:eastAsia="zh-CN"/>
        </w:rPr>
        <w:t>联合国</w:t>
      </w:r>
      <w:r>
        <w:rPr>
          <w:rFonts w:hint="eastAsia"/>
          <w:sz w:val="20"/>
          <w:lang w:eastAsia="zh-CN"/>
        </w:rPr>
        <w:t>，</w:t>
      </w:r>
      <w:r w:rsidRPr="00D73EA9">
        <w:rPr>
          <w:sz w:val="20"/>
          <w:lang w:eastAsia="zh-CN"/>
        </w:rPr>
        <w:t>《条约汇编》</w:t>
      </w:r>
      <w:r>
        <w:rPr>
          <w:rFonts w:hint="eastAsia"/>
          <w:sz w:val="20"/>
          <w:lang w:eastAsia="zh-CN"/>
        </w:rPr>
        <w:t>，</w:t>
      </w:r>
      <w:r w:rsidRPr="00D73EA9">
        <w:rPr>
          <w:sz w:val="20"/>
          <w:lang w:eastAsia="zh-CN"/>
        </w:rPr>
        <w:t>第</w:t>
      </w:r>
      <w:r w:rsidRPr="00D73EA9">
        <w:rPr>
          <w:sz w:val="20"/>
          <w:lang w:eastAsia="zh-CN"/>
        </w:rPr>
        <w:t>1760</w:t>
      </w:r>
      <w:r w:rsidRPr="00D73EA9">
        <w:rPr>
          <w:sz w:val="20"/>
          <w:lang w:eastAsia="zh-CN"/>
        </w:rPr>
        <w:t>卷，第</w:t>
      </w:r>
      <w:r w:rsidRPr="00D73EA9">
        <w:rPr>
          <w:sz w:val="20"/>
          <w:lang w:eastAsia="zh-CN"/>
        </w:rPr>
        <w:t>30619</w:t>
      </w:r>
      <w:r w:rsidRPr="00D73EA9">
        <w:rPr>
          <w:sz w:val="20"/>
          <w:lang w:eastAsia="zh-CN"/>
        </w:rPr>
        <w:t>号。</w:t>
      </w:r>
    </w:p>
  </w:footnote>
  <w:footnote w:id="8">
    <w:p w14:paraId="70096F5E" w14:textId="0BB5925D" w:rsidR="008B3828" w:rsidRDefault="008B3828" w:rsidP="00D73EA9">
      <w:pPr>
        <w:pStyle w:val="FootnoteText"/>
        <w:spacing w:after="60"/>
        <w:rPr>
          <w:sz w:val="20"/>
          <w:lang w:eastAsia="zh-CN"/>
        </w:rPr>
      </w:pPr>
      <w:r w:rsidRPr="00D73EA9">
        <w:rPr>
          <w:rStyle w:val="FootnoteReference"/>
          <w:sz w:val="20"/>
        </w:rPr>
        <w:footnoteRef/>
      </w:r>
      <w:r w:rsidRPr="00D73EA9">
        <w:rPr>
          <w:sz w:val="20"/>
          <w:lang w:eastAsia="zh-CN"/>
        </w:rPr>
        <w:t xml:space="preserve"> </w:t>
      </w:r>
      <w:r w:rsidR="00D73EA9">
        <w:rPr>
          <w:rFonts w:hint="eastAsia"/>
          <w:sz w:val="20"/>
          <w:lang w:eastAsia="zh-CN"/>
        </w:rPr>
        <w:t xml:space="preserve"> </w:t>
      </w:r>
      <w:r w:rsidRPr="00D73EA9">
        <w:rPr>
          <w:sz w:val="20"/>
          <w:lang w:eastAsia="zh-CN"/>
        </w:rPr>
        <w:t>见第</w:t>
      </w:r>
      <w:hyperlink r:id="rId3" w:history="1">
        <w:r w:rsidRPr="00D73EA9">
          <w:rPr>
            <w:rStyle w:val="Hyperlink"/>
            <w:sz w:val="20"/>
            <w:lang w:eastAsia="zh-CN"/>
          </w:rPr>
          <w:t>CP-10/13</w:t>
        </w:r>
      </w:hyperlink>
      <w:r w:rsidRPr="00D73EA9">
        <w:rPr>
          <w:sz w:val="20"/>
          <w:lang w:eastAsia="zh-CN"/>
        </w:rPr>
        <w:t>号决定，第</w:t>
      </w:r>
      <w:r w:rsidRPr="00D73EA9">
        <w:rPr>
          <w:sz w:val="20"/>
          <w:lang w:eastAsia="zh-CN"/>
        </w:rPr>
        <w:t>12</w:t>
      </w:r>
      <w:r w:rsidRPr="00D73EA9">
        <w:rPr>
          <w:sz w:val="20"/>
          <w:lang w:eastAsia="zh-CN"/>
        </w:rPr>
        <w:t>段。</w:t>
      </w:r>
      <w:r>
        <w:rPr>
          <w:rFonts w:hint="eastAsia"/>
          <w:sz w:val="20"/>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137802784"/>
  <w:bookmarkStart w:id="6" w:name="_Hlk137802785"/>
  <w:p w14:paraId="3CA8605D" w14:textId="6B09B959" w:rsidR="00B72A5B" w:rsidRPr="0030222A" w:rsidRDefault="00000000" w:rsidP="002B559C">
    <w:pPr>
      <w:pStyle w:val="Header"/>
      <w:spacing w:after="240"/>
      <w:rPr>
        <w:szCs w:val="20"/>
        <w:lang w:val="fr-FR"/>
      </w:rPr>
    </w:pPr>
    <w:sdt>
      <w:sdtPr>
        <w:rPr>
          <w:rFonts w:eastAsiaTheme="minorEastAsia" w:hint="eastAsia"/>
          <w:szCs w:val="20"/>
          <w:lang w:val="en-GB" w:eastAsia="zh-CN"/>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30222A" w:rsidRPr="0030222A">
          <w:rPr>
            <w:rFonts w:eastAsiaTheme="minorEastAsia" w:hint="eastAsia"/>
            <w:szCs w:val="20"/>
            <w:lang w:val="en-GB" w:eastAsia="zh-CN"/>
          </w:rPr>
          <w:t>CBD/CP/MOP/</w:t>
        </w:r>
        <w:r w:rsidR="00D73EA9">
          <w:rPr>
            <w:rFonts w:eastAsiaTheme="minorEastAsia" w:hint="eastAsia"/>
            <w:szCs w:val="20"/>
            <w:lang w:val="en-GB" w:eastAsia="zh-CN"/>
          </w:rPr>
          <w:t>DEC/</w:t>
        </w:r>
        <w:r w:rsidR="0030222A" w:rsidRPr="0030222A">
          <w:rPr>
            <w:rFonts w:eastAsiaTheme="minorEastAsia" w:hint="eastAsia"/>
            <w:szCs w:val="20"/>
            <w:lang w:val="en-GB" w:eastAsia="zh-CN"/>
          </w:rPr>
          <w:t>11/</w:t>
        </w:r>
        <w:r w:rsidR="00D73EA9">
          <w:rPr>
            <w:rFonts w:eastAsiaTheme="minorEastAsia" w:hint="eastAsia"/>
            <w:szCs w:val="20"/>
            <w:lang w:val="en-GB" w:eastAsia="zh-CN"/>
          </w:rPr>
          <w:t>10</w:t>
        </w:r>
      </w:sdtContent>
    </w:sdt>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2B2263AA" w:rsidR="00A73CBC" w:rsidRPr="00385A3A" w:rsidRDefault="00000000" w:rsidP="00385A3A">
    <w:pPr>
      <w:pStyle w:val="Header"/>
      <w:spacing w:after="240"/>
      <w:jc w:val="right"/>
      <w:rPr>
        <w:szCs w:val="20"/>
        <w:lang w:val="fr-FR"/>
      </w:rPr>
    </w:pPr>
    <w:sdt>
      <w:sdtPr>
        <w:rPr>
          <w:rFonts w:eastAsia="Times New Roman" w:hint="eastAsia"/>
          <w:szCs w:val="20"/>
          <w:lang w:val="en-GB"/>
        </w:rPr>
        <w:alias w:val="Subject"/>
        <w:tag w:val=""/>
        <w:id w:val="1267501907"/>
        <w:dataBinding w:prefixMappings="xmlns:ns0='http://purl.org/dc/elements/1.1/' xmlns:ns1='http://schemas.openxmlformats.org/package/2006/metadata/core-properties' " w:xpath="/ns1:coreProperties[1]/ns0:subject[1]" w:storeItemID="{6C3C8BC8-F283-45AE-878A-BAB7291924A1}"/>
        <w:text/>
      </w:sdtPr>
      <w:sdtContent>
        <w:r w:rsidR="00D73EA9">
          <w:rPr>
            <w:rFonts w:eastAsia="Times New Roman" w:hint="eastAsia"/>
            <w:szCs w:val="20"/>
            <w:lang w:val="en-GB"/>
          </w:rPr>
          <w:t>CBD/CP/MOP/DEC/11/10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E64DC1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4C6164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1362FD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C31565"/>
    <w:multiLevelType w:val="hybridMultilevel"/>
    <w:tmpl w:val="100A9926"/>
    <w:lvl w:ilvl="0" w:tplc="E53A7B56">
      <w:start w:val="1"/>
      <w:numFmt w:val="lowerLetter"/>
      <w:lvlText w:val="(%1)"/>
      <w:lvlJc w:val="left"/>
      <w:pPr>
        <w:ind w:left="1260" w:hanging="360"/>
      </w:pPr>
      <w:rPr>
        <w:rFonts w:ascii="Times New Roman" w:eastAsia="SimSun" w:hAnsi="Times New Roman" w:cs="Times New Roman"/>
        <w:sz w:val="24"/>
        <w:szCs w:val="24"/>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40B357D"/>
    <w:multiLevelType w:val="hybridMultilevel"/>
    <w:tmpl w:val="65E21E5C"/>
    <w:lvl w:ilvl="0" w:tplc="AD1201DE">
      <w:start w:val="1"/>
      <w:numFmt w:val="lowerLetter"/>
      <w:lvlText w:val="(%1)"/>
      <w:lvlJc w:val="left"/>
      <w:pPr>
        <w:ind w:left="2189" w:hanging="360"/>
      </w:pPr>
      <w:rPr>
        <w:rFonts w:hint="eastAsia"/>
      </w:r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7" w15:restartNumberingAfterBreak="0">
    <w:nsid w:val="34556C57"/>
    <w:multiLevelType w:val="hybridMultilevel"/>
    <w:tmpl w:val="277ADD8E"/>
    <w:lvl w:ilvl="0" w:tplc="6856224E">
      <w:start w:val="4"/>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 w15:restartNumberingAfterBreak="0">
    <w:nsid w:val="77EB56CE"/>
    <w:multiLevelType w:val="hybridMultilevel"/>
    <w:tmpl w:val="DE946F52"/>
    <w:lvl w:ilvl="0" w:tplc="0C685ED6">
      <w:start w:val="1"/>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88515417">
    <w:abstractNumId w:val="12"/>
  </w:num>
  <w:num w:numId="2" w16cid:durableId="1644120796">
    <w:abstractNumId w:val="17"/>
  </w:num>
  <w:num w:numId="3" w16cid:durableId="1605110980">
    <w:abstractNumId w:val="11"/>
  </w:num>
  <w:num w:numId="4" w16cid:durableId="1254162567">
    <w:abstractNumId w:val="13"/>
  </w:num>
  <w:num w:numId="5" w16cid:durableId="114830616">
    <w:abstractNumId w:val="13"/>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15"/>
  </w:num>
  <w:num w:numId="7" w16cid:durableId="1987197594">
    <w:abstractNumId w:val="10"/>
  </w:num>
  <w:num w:numId="8" w16cid:durableId="634408056">
    <w:abstractNumId w:val="14"/>
  </w:num>
  <w:num w:numId="9" w16cid:durableId="1914658722">
    <w:abstractNumId w:val="8"/>
  </w:num>
  <w:num w:numId="10" w16cid:durableId="975992993">
    <w:abstractNumId w:val="4"/>
  </w:num>
  <w:num w:numId="11" w16cid:durableId="257520596">
    <w:abstractNumId w:val="9"/>
  </w:num>
  <w:num w:numId="12" w16cid:durableId="1638680439">
    <w:abstractNumId w:val="12"/>
    <w:lvlOverride w:ilvl="0">
      <w:startOverride w:val="1"/>
    </w:lvlOverride>
  </w:num>
  <w:num w:numId="13" w16cid:durableId="2105613923">
    <w:abstractNumId w:val="5"/>
  </w:num>
  <w:num w:numId="14" w16cid:durableId="98110136">
    <w:abstractNumId w:val="1"/>
  </w:num>
  <w:num w:numId="15" w16cid:durableId="607395260">
    <w:abstractNumId w:val="2"/>
  </w:num>
  <w:num w:numId="16" w16cid:durableId="920676582">
    <w:abstractNumId w:val="0"/>
  </w:num>
  <w:num w:numId="17" w16cid:durableId="467166852">
    <w:abstractNumId w:val="6"/>
  </w:num>
  <w:num w:numId="18" w16cid:durableId="773743991">
    <w:abstractNumId w:val="3"/>
  </w:num>
  <w:num w:numId="19" w16cid:durableId="1656178458">
    <w:abstractNumId w:val="16"/>
  </w:num>
  <w:num w:numId="20" w16cid:durableId="9356746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19D6"/>
    <w:rsid w:val="00012711"/>
    <w:rsid w:val="00012FFA"/>
    <w:rsid w:val="000176CB"/>
    <w:rsid w:val="000206F5"/>
    <w:rsid w:val="00020C3E"/>
    <w:rsid w:val="00021D18"/>
    <w:rsid w:val="000253FA"/>
    <w:rsid w:val="0002615E"/>
    <w:rsid w:val="0002698B"/>
    <w:rsid w:val="000269D8"/>
    <w:rsid w:val="0002766A"/>
    <w:rsid w:val="00030F4C"/>
    <w:rsid w:val="0003114A"/>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50BD"/>
    <w:rsid w:val="000710EC"/>
    <w:rsid w:val="00073A72"/>
    <w:rsid w:val="00074C7F"/>
    <w:rsid w:val="00076F1E"/>
    <w:rsid w:val="00077BF7"/>
    <w:rsid w:val="00077E34"/>
    <w:rsid w:val="00080060"/>
    <w:rsid w:val="00080605"/>
    <w:rsid w:val="00080ABB"/>
    <w:rsid w:val="00082042"/>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E526F"/>
    <w:rsid w:val="000E52AE"/>
    <w:rsid w:val="000F0E7D"/>
    <w:rsid w:val="000F229B"/>
    <w:rsid w:val="000F3DD4"/>
    <w:rsid w:val="000F535D"/>
    <w:rsid w:val="000F716A"/>
    <w:rsid w:val="000F75DD"/>
    <w:rsid w:val="0010175B"/>
    <w:rsid w:val="00102394"/>
    <w:rsid w:val="00102554"/>
    <w:rsid w:val="00103D35"/>
    <w:rsid w:val="00105953"/>
    <w:rsid w:val="00106635"/>
    <w:rsid w:val="001067D3"/>
    <w:rsid w:val="001102F9"/>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3B59"/>
    <w:rsid w:val="001550EF"/>
    <w:rsid w:val="00160474"/>
    <w:rsid w:val="00162B23"/>
    <w:rsid w:val="00163403"/>
    <w:rsid w:val="00166349"/>
    <w:rsid w:val="00167EB5"/>
    <w:rsid w:val="0017029B"/>
    <w:rsid w:val="001703FB"/>
    <w:rsid w:val="0017319B"/>
    <w:rsid w:val="00173DD8"/>
    <w:rsid w:val="001768AD"/>
    <w:rsid w:val="00177A57"/>
    <w:rsid w:val="0018124D"/>
    <w:rsid w:val="00182871"/>
    <w:rsid w:val="0018322D"/>
    <w:rsid w:val="001843D0"/>
    <w:rsid w:val="00184820"/>
    <w:rsid w:val="00184909"/>
    <w:rsid w:val="00185688"/>
    <w:rsid w:val="00186B09"/>
    <w:rsid w:val="00193C43"/>
    <w:rsid w:val="00197CFE"/>
    <w:rsid w:val="001A0E22"/>
    <w:rsid w:val="001A44C5"/>
    <w:rsid w:val="001A51A5"/>
    <w:rsid w:val="001A6A1B"/>
    <w:rsid w:val="001B178C"/>
    <w:rsid w:val="001B2446"/>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6DD"/>
    <w:rsid w:val="001E4CC2"/>
    <w:rsid w:val="001E4EF0"/>
    <w:rsid w:val="001E6D37"/>
    <w:rsid w:val="001E6D41"/>
    <w:rsid w:val="001E710A"/>
    <w:rsid w:val="001E7854"/>
    <w:rsid w:val="001F15FF"/>
    <w:rsid w:val="001F2811"/>
    <w:rsid w:val="001F7BC1"/>
    <w:rsid w:val="001F7D23"/>
    <w:rsid w:val="00202741"/>
    <w:rsid w:val="00203CEC"/>
    <w:rsid w:val="00204C65"/>
    <w:rsid w:val="00205123"/>
    <w:rsid w:val="00205727"/>
    <w:rsid w:val="00210DE2"/>
    <w:rsid w:val="00211181"/>
    <w:rsid w:val="00214981"/>
    <w:rsid w:val="00214CBB"/>
    <w:rsid w:val="00215D53"/>
    <w:rsid w:val="002206EC"/>
    <w:rsid w:val="00222B03"/>
    <w:rsid w:val="0022601D"/>
    <w:rsid w:val="0022665E"/>
    <w:rsid w:val="00227F82"/>
    <w:rsid w:val="002312CD"/>
    <w:rsid w:val="002316ED"/>
    <w:rsid w:val="00232160"/>
    <w:rsid w:val="00235776"/>
    <w:rsid w:val="002369B0"/>
    <w:rsid w:val="00240128"/>
    <w:rsid w:val="00240D2C"/>
    <w:rsid w:val="002412BF"/>
    <w:rsid w:val="0024205C"/>
    <w:rsid w:val="00242646"/>
    <w:rsid w:val="002427B6"/>
    <w:rsid w:val="0024453E"/>
    <w:rsid w:val="00244DB3"/>
    <w:rsid w:val="00245187"/>
    <w:rsid w:val="00245C1E"/>
    <w:rsid w:val="00247473"/>
    <w:rsid w:val="00247FD8"/>
    <w:rsid w:val="00252756"/>
    <w:rsid w:val="0025303A"/>
    <w:rsid w:val="00254EE1"/>
    <w:rsid w:val="00255BC7"/>
    <w:rsid w:val="0026057F"/>
    <w:rsid w:val="00261B8F"/>
    <w:rsid w:val="00262ECE"/>
    <w:rsid w:val="00263A20"/>
    <w:rsid w:val="00263E03"/>
    <w:rsid w:val="00265FA8"/>
    <w:rsid w:val="0026696D"/>
    <w:rsid w:val="00267C04"/>
    <w:rsid w:val="00271D71"/>
    <w:rsid w:val="00271DF4"/>
    <w:rsid w:val="0027286E"/>
    <w:rsid w:val="0027324D"/>
    <w:rsid w:val="0027440A"/>
    <w:rsid w:val="00277C98"/>
    <w:rsid w:val="002820D4"/>
    <w:rsid w:val="00282B80"/>
    <w:rsid w:val="00284DA1"/>
    <w:rsid w:val="00286F54"/>
    <w:rsid w:val="00290762"/>
    <w:rsid w:val="002912FE"/>
    <w:rsid w:val="00296B3A"/>
    <w:rsid w:val="00297704"/>
    <w:rsid w:val="002A0C1B"/>
    <w:rsid w:val="002A653E"/>
    <w:rsid w:val="002B00CA"/>
    <w:rsid w:val="002B017B"/>
    <w:rsid w:val="002B2B67"/>
    <w:rsid w:val="002B2EC6"/>
    <w:rsid w:val="002B3CEB"/>
    <w:rsid w:val="002B53A6"/>
    <w:rsid w:val="002B559C"/>
    <w:rsid w:val="002B65E6"/>
    <w:rsid w:val="002B731E"/>
    <w:rsid w:val="002C0212"/>
    <w:rsid w:val="002C022A"/>
    <w:rsid w:val="002C22FA"/>
    <w:rsid w:val="002C370B"/>
    <w:rsid w:val="002C38DC"/>
    <w:rsid w:val="002C43D7"/>
    <w:rsid w:val="002C614B"/>
    <w:rsid w:val="002C64BC"/>
    <w:rsid w:val="002C677E"/>
    <w:rsid w:val="002C6970"/>
    <w:rsid w:val="002D2565"/>
    <w:rsid w:val="002D38D9"/>
    <w:rsid w:val="002D4309"/>
    <w:rsid w:val="002D49C7"/>
    <w:rsid w:val="002D4FF7"/>
    <w:rsid w:val="002D687B"/>
    <w:rsid w:val="002E0FE6"/>
    <w:rsid w:val="002E1437"/>
    <w:rsid w:val="002E1913"/>
    <w:rsid w:val="002E22E7"/>
    <w:rsid w:val="002E2757"/>
    <w:rsid w:val="002E2C7A"/>
    <w:rsid w:val="002E5831"/>
    <w:rsid w:val="002E58E0"/>
    <w:rsid w:val="002F2523"/>
    <w:rsid w:val="002F40AF"/>
    <w:rsid w:val="002F67C9"/>
    <w:rsid w:val="003005FC"/>
    <w:rsid w:val="0030086E"/>
    <w:rsid w:val="00300F0D"/>
    <w:rsid w:val="0030131E"/>
    <w:rsid w:val="0030222A"/>
    <w:rsid w:val="00303079"/>
    <w:rsid w:val="00303142"/>
    <w:rsid w:val="003035F0"/>
    <w:rsid w:val="003042B5"/>
    <w:rsid w:val="00305E80"/>
    <w:rsid w:val="003069E6"/>
    <w:rsid w:val="00310608"/>
    <w:rsid w:val="00314924"/>
    <w:rsid w:val="003153DD"/>
    <w:rsid w:val="00315F89"/>
    <w:rsid w:val="00316C22"/>
    <w:rsid w:val="00321AE5"/>
    <w:rsid w:val="00323E97"/>
    <w:rsid w:val="00323F22"/>
    <w:rsid w:val="003247F0"/>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7153F"/>
    <w:rsid w:val="00372AD1"/>
    <w:rsid w:val="00375767"/>
    <w:rsid w:val="0037705B"/>
    <w:rsid w:val="003805F9"/>
    <w:rsid w:val="00381390"/>
    <w:rsid w:val="00383C1D"/>
    <w:rsid w:val="003858A2"/>
    <w:rsid w:val="00385958"/>
    <w:rsid w:val="00385A3A"/>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3744"/>
    <w:rsid w:val="003C6F10"/>
    <w:rsid w:val="003D2419"/>
    <w:rsid w:val="003D48DA"/>
    <w:rsid w:val="003D5352"/>
    <w:rsid w:val="003D54B8"/>
    <w:rsid w:val="003D6410"/>
    <w:rsid w:val="003D7042"/>
    <w:rsid w:val="003E0A26"/>
    <w:rsid w:val="003E2D61"/>
    <w:rsid w:val="003E3124"/>
    <w:rsid w:val="003E3332"/>
    <w:rsid w:val="003E3481"/>
    <w:rsid w:val="003E3E57"/>
    <w:rsid w:val="003E5AA3"/>
    <w:rsid w:val="003F0042"/>
    <w:rsid w:val="003F0E0E"/>
    <w:rsid w:val="003F5A95"/>
    <w:rsid w:val="003F6070"/>
    <w:rsid w:val="003F7AD1"/>
    <w:rsid w:val="003F7B1D"/>
    <w:rsid w:val="004005C2"/>
    <w:rsid w:val="00400F3E"/>
    <w:rsid w:val="00401ECE"/>
    <w:rsid w:val="00401FBC"/>
    <w:rsid w:val="00402CFC"/>
    <w:rsid w:val="004065F8"/>
    <w:rsid w:val="00407BA9"/>
    <w:rsid w:val="0041047D"/>
    <w:rsid w:val="0041190F"/>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7AE"/>
    <w:rsid w:val="00462F2F"/>
    <w:rsid w:val="00463A6B"/>
    <w:rsid w:val="00464A21"/>
    <w:rsid w:val="00464C78"/>
    <w:rsid w:val="00465FDE"/>
    <w:rsid w:val="004662B1"/>
    <w:rsid w:val="00467B37"/>
    <w:rsid w:val="004701EE"/>
    <w:rsid w:val="00471051"/>
    <w:rsid w:val="00471284"/>
    <w:rsid w:val="00474941"/>
    <w:rsid w:val="0047694A"/>
    <w:rsid w:val="00480A8D"/>
    <w:rsid w:val="00483192"/>
    <w:rsid w:val="00487B1E"/>
    <w:rsid w:val="00491277"/>
    <w:rsid w:val="0049520D"/>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3179"/>
    <w:rsid w:val="0052578C"/>
    <w:rsid w:val="00527D7E"/>
    <w:rsid w:val="005324A2"/>
    <w:rsid w:val="005326CA"/>
    <w:rsid w:val="00534440"/>
    <w:rsid w:val="005349BE"/>
    <w:rsid w:val="00534F9C"/>
    <w:rsid w:val="00535D1A"/>
    <w:rsid w:val="00537248"/>
    <w:rsid w:val="005378F0"/>
    <w:rsid w:val="005379BC"/>
    <w:rsid w:val="005442DB"/>
    <w:rsid w:val="00551C64"/>
    <w:rsid w:val="00554C8E"/>
    <w:rsid w:val="00557EDA"/>
    <w:rsid w:val="00562440"/>
    <w:rsid w:val="00565274"/>
    <w:rsid w:val="00565712"/>
    <w:rsid w:val="00566216"/>
    <w:rsid w:val="005670A1"/>
    <w:rsid w:val="005670BD"/>
    <w:rsid w:val="00570346"/>
    <w:rsid w:val="00573855"/>
    <w:rsid w:val="00573D55"/>
    <w:rsid w:val="0057606D"/>
    <w:rsid w:val="00582E0F"/>
    <w:rsid w:val="00584132"/>
    <w:rsid w:val="00585DB5"/>
    <w:rsid w:val="00586346"/>
    <w:rsid w:val="0058717B"/>
    <w:rsid w:val="00590622"/>
    <w:rsid w:val="00593077"/>
    <w:rsid w:val="005954CA"/>
    <w:rsid w:val="0059599A"/>
    <w:rsid w:val="005A1200"/>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74"/>
    <w:rsid w:val="005B5FD2"/>
    <w:rsid w:val="005B7C78"/>
    <w:rsid w:val="005B7F73"/>
    <w:rsid w:val="005C15AA"/>
    <w:rsid w:val="005C195B"/>
    <w:rsid w:val="005C613C"/>
    <w:rsid w:val="005D29E1"/>
    <w:rsid w:val="005D4E37"/>
    <w:rsid w:val="005D4EED"/>
    <w:rsid w:val="005D511C"/>
    <w:rsid w:val="005D57C7"/>
    <w:rsid w:val="005D658E"/>
    <w:rsid w:val="005E0DF7"/>
    <w:rsid w:val="005E2605"/>
    <w:rsid w:val="005E2C89"/>
    <w:rsid w:val="005E2EDE"/>
    <w:rsid w:val="005E6F29"/>
    <w:rsid w:val="005F0078"/>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58AF"/>
    <w:rsid w:val="00626394"/>
    <w:rsid w:val="006267F3"/>
    <w:rsid w:val="00626DEA"/>
    <w:rsid w:val="00626EC8"/>
    <w:rsid w:val="00627D5D"/>
    <w:rsid w:val="0063243E"/>
    <w:rsid w:val="00632CFC"/>
    <w:rsid w:val="006355B2"/>
    <w:rsid w:val="00635F47"/>
    <w:rsid w:val="0063742F"/>
    <w:rsid w:val="0064111F"/>
    <w:rsid w:val="00641314"/>
    <w:rsid w:val="0064136E"/>
    <w:rsid w:val="00641DE4"/>
    <w:rsid w:val="00642920"/>
    <w:rsid w:val="00643439"/>
    <w:rsid w:val="00644286"/>
    <w:rsid w:val="00644BD7"/>
    <w:rsid w:val="006461B9"/>
    <w:rsid w:val="00646CCD"/>
    <w:rsid w:val="0064703D"/>
    <w:rsid w:val="00651BF4"/>
    <w:rsid w:val="00652E3B"/>
    <w:rsid w:val="0065549C"/>
    <w:rsid w:val="00656328"/>
    <w:rsid w:val="00657ED6"/>
    <w:rsid w:val="00660661"/>
    <w:rsid w:val="00662A6F"/>
    <w:rsid w:val="006659F7"/>
    <w:rsid w:val="00673109"/>
    <w:rsid w:val="00673677"/>
    <w:rsid w:val="006757CC"/>
    <w:rsid w:val="00675C51"/>
    <w:rsid w:val="00677C9D"/>
    <w:rsid w:val="00681B12"/>
    <w:rsid w:val="0068257E"/>
    <w:rsid w:val="00684829"/>
    <w:rsid w:val="00685183"/>
    <w:rsid w:val="00691CA1"/>
    <w:rsid w:val="0069353E"/>
    <w:rsid w:val="00693B2F"/>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2211"/>
    <w:rsid w:val="006D3C99"/>
    <w:rsid w:val="006D3CF4"/>
    <w:rsid w:val="006D6CF1"/>
    <w:rsid w:val="006D761D"/>
    <w:rsid w:val="006E242D"/>
    <w:rsid w:val="006E2940"/>
    <w:rsid w:val="006E30BC"/>
    <w:rsid w:val="006E3589"/>
    <w:rsid w:val="006E3DB9"/>
    <w:rsid w:val="006E62CF"/>
    <w:rsid w:val="006F396E"/>
    <w:rsid w:val="006F3CB1"/>
    <w:rsid w:val="006F4A67"/>
    <w:rsid w:val="00700376"/>
    <w:rsid w:val="007004B5"/>
    <w:rsid w:val="007016F8"/>
    <w:rsid w:val="00703E3F"/>
    <w:rsid w:val="00704C91"/>
    <w:rsid w:val="00706247"/>
    <w:rsid w:val="00710042"/>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66ADD"/>
    <w:rsid w:val="00770282"/>
    <w:rsid w:val="00770A98"/>
    <w:rsid w:val="00772F49"/>
    <w:rsid w:val="00773B13"/>
    <w:rsid w:val="00774160"/>
    <w:rsid w:val="00774AAF"/>
    <w:rsid w:val="00774EA5"/>
    <w:rsid w:val="00776DE9"/>
    <w:rsid w:val="00777B20"/>
    <w:rsid w:val="00777EBB"/>
    <w:rsid w:val="0079117A"/>
    <w:rsid w:val="007928DC"/>
    <w:rsid w:val="0079325E"/>
    <w:rsid w:val="00793AD6"/>
    <w:rsid w:val="00793B26"/>
    <w:rsid w:val="00794278"/>
    <w:rsid w:val="007944FE"/>
    <w:rsid w:val="0079518B"/>
    <w:rsid w:val="00796919"/>
    <w:rsid w:val="00796CD7"/>
    <w:rsid w:val="00797BA0"/>
    <w:rsid w:val="007A0475"/>
    <w:rsid w:val="007A2964"/>
    <w:rsid w:val="007A3761"/>
    <w:rsid w:val="007A4B26"/>
    <w:rsid w:val="007A5197"/>
    <w:rsid w:val="007B0B27"/>
    <w:rsid w:val="007B3CE6"/>
    <w:rsid w:val="007B7925"/>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0276B"/>
    <w:rsid w:val="00803EB4"/>
    <w:rsid w:val="00807520"/>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47535"/>
    <w:rsid w:val="00850DEA"/>
    <w:rsid w:val="00860221"/>
    <w:rsid w:val="00863313"/>
    <w:rsid w:val="00867776"/>
    <w:rsid w:val="00867F2C"/>
    <w:rsid w:val="00870ED6"/>
    <w:rsid w:val="00871E8B"/>
    <w:rsid w:val="00872E6D"/>
    <w:rsid w:val="00874541"/>
    <w:rsid w:val="0087518A"/>
    <w:rsid w:val="00875227"/>
    <w:rsid w:val="0087642C"/>
    <w:rsid w:val="0087735E"/>
    <w:rsid w:val="00880582"/>
    <w:rsid w:val="008809E4"/>
    <w:rsid w:val="0088160C"/>
    <w:rsid w:val="00883035"/>
    <w:rsid w:val="0088344E"/>
    <w:rsid w:val="0088414C"/>
    <w:rsid w:val="0088777B"/>
    <w:rsid w:val="008908C1"/>
    <w:rsid w:val="00890A00"/>
    <w:rsid w:val="0089192D"/>
    <w:rsid w:val="00892338"/>
    <w:rsid w:val="00893B19"/>
    <w:rsid w:val="0089575F"/>
    <w:rsid w:val="00895B1D"/>
    <w:rsid w:val="008A08E3"/>
    <w:rsid w:val="008A09F1"/>
    <w:rsid w:val="008A0F5C"/>
    <w:rsid w:val="008A11B3"/>
    <w:rsid w:val="008A1A50"/>
    <w:rsid w:val="008A31E3"/>
    <w:rsid w:val="008A3432"/>
    <w:rsid w:val="008A3ECE"/>
    <w:rsid w:val="008A4D9A"/>
    <w:rsid w:val="008A7F16"/>
    <w:rsid w:val="008B06DE"/>
    <w:rsid w:val="008B151B"/>
    <w:rsid w:val="008B3828"/>
    <w:rsid w:val="008B49B6"/>
    <w:rsid w:val="008B7768"/>
    <w:rsid w:val="008C080B"/>
    <w:rsid w:val="008C705B"/>
    <w:rsid w:val="008D2CF6"/>
    <w:rsid w:val="008D2D3F"/>
    <w:rsid w:val="008D4C55"/>
    <w:rsid w:val="008D4F32"/>
    <w:rsid w:val="008D7C2D"/>
    <w:rsid w:val="008E0581"/>
    <w:rsid w:val="008E1470"/>
    <w:rsid w:val="008E16A5"/>
    <w:rsid w:val="008E29C6"/>
    <w:rsid w:val="008E3EC6"/>
    <w:rsid w:val="008E669F"/>
    <w:rsid w:val="008E79BD"/>
    <w:rsid w:val="008F1ACF"/>
    <w:rsid w:val="008F1BC0"/>
    <w:rsid w:val="008F3EF9"/>
    <w:rsid w:val="008F5EF0"/>
    <w:rsid w:val="008F6A04"/>
    <w:rsid w:val="008F7749"/>
    <w:rsid w:val="009022AF"/>
    <w:rsid w:val="00902574"/>
    <w:rsid w:val="00902DC2"/>
    <w:rsid w:val="00904F30"/>
    <w:rsid w:val="009059F3"/>
    <w:rsid w:val="009062D6"/>
    <w:rsid w:val="00907DB9"/>
    <w:rsid w:val="009108CF"/>
    <w:rsid w:val="009120AA"/>
    <w:rsid w:val="00912FD5"/>
    <w:rsid w:val="00913CCE"/>
    <w:rsid w:val="009160C0"/>
    <w:rsid w:val="00920E18"/>
    <w:rsid w:val="009215E8"/>
    <w:rsid w:val="009223A0"/>
    <w:rsid w:val="00922AD0"/>
    <w:rsid w:val="0092346F"/>
    <w:rsid w:val="009255D9"/>
    <w:rsid w:val="009260B4"/>
    <w:rsid w:val="00930ACF"/>
    <w:rsid w:val="00932FAD"/>
    <w:rsid w:val="00935461"/>
    <w:rsid w:val="009411AF"/>
    <w:rsid w:val="00942E36"/>
    <w:rsid w:val="009432BF"/>
    <w:rsid w:val="009450DA"/>
    <w:rsid w:val="009459E3"/>
    <w:rsid w:val="00946516"/>
    <w:rsid w:val="00951787"/>
    <w:rsid w:val="00953B9A"/>
    <w:rsid w:val="00954FFC"/>
    <w:rsid w:val="00955588"/>
    <w:rsid w:val="009570F0"/>
    <w:rsid w:val="009626A8"/>
    <w:rsid w:val="00963D3C"/>
    <w:rsid w:val="009640CF"/>
    <w:rsid w:val="009650C0"/>
    <w:rsid w:val="00965569"/>
    <w:rsid w:val="00970EE6"/>
    <w:rsid w:val="00971A27"/>
    <w:rsid w:val="00972F47"/>
    <w:rsid w:val="00974130"/>
    <w:rsid w:val="00974A44"/>
    <w:rsid w:val="00975AD6"/>
    <w:rsid w:val="00976245"/>
    <w:rsid w:val="00982279"/>
    <w:rsid w:val="0098256D"/>
    <w:rsid w:val="00982840"/>
    <w:rsid w:val="00982ADE"/>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C82"/>
    <w:rsid w:val="009B24F2"/>
    <w:rsid w:val="009B44BF"/>
    <w:rsid w:val="009B6068"/>
    <w:rsid w:val="009C1084"/>
    <w:rsid w:val="009C1114"/>
    <w:rsid w:val="009C23DB"/>
    <w:rsid w:val="009C3794"/>
    <w:rsid w:val="009C46E7"/>
    <w:rsid w:val="009C554A"/>
    <w:rsid w:val="009C5556"/>
    <w:rsid w:val="009D007C"/>
    <w:rsid w:val="009D0718"/>
    <w:rsid w:val="009D22DD"/>
    <w:rsid w:val="009D6311"/>
    <w:rsid w:val="009D71C3"/>
    <w:rsid w:val="009E06A1"/>
    <w:rsid w:val="009E21FD"/>
    <w:rsid w:val="009E27D2"/>
    <w:rsid w:val="009E47B5"/>
    <w:rsid w:val="009E4E24"/>
    <w:rsid w:val="009F0F9F"/>
    <w:rsid w:val="009F19C0"/>
    <w:rsid w:val="009F40F3"/>
    <w:rsid w:val="009F617D"/>
    <w:rsid w:val="00A017C6"/>
    <w:rsid w:val="00A020F8"/>
    <w:rsid w:val="00A02BE5"/>
    <w:rsid w:val="00A03E83"/>
    <w:rsid w:val="00A04952"/>
    <w:rsid w:val="00A10242"/>
    <w:rsid w:val="00A1689F"/>
    <w:rsid w:val="00A179C3"/>
    <w:rsid w:val="00A17D56"/>
    <w:rsid w:val="00A202FB"/>
    <w:rsid w:val="00A24589"/>
    <w:rsid w:val="00A24675"/>
    <w:rsid w:val="00A24A51"/>
    <w:rsid w:val="00A26141"/>
    <w:rsid w:val="00A303E1"/>
    <w:rsid w:val="00A307BE"/>
    <w:rsid w:val="00A30C87"/>
    <w:rsid w:val="00A31A4F"/>
    <w:rsid w:val="00A326D6"/>
    <w:rsid w:val="00A33150"/>
    <w:rsid w:val="00A33646"/>
    <w:rsid w:val="00A34178"/>
    <w:rsid w:val="00A35A4E"/>
    <w:rsid w:val="00A35DC7"/>
    <w:rsid w:val="00A37E79"/>
    <w:rsid w:val="00A40FC7"/>
    <w:rsid w:val="00A42B37"/>
    <w:rsid w:val="00A43196"/>
    <w:rsid w:val="00A44797"/>
    <w:rsid w:val="00A464FE"/>
    <w:rsid w:val="00A47A95"/>
    <w:rsid w:val="00A51DE5"/>
    <w:rsid w:val="00A53489"/>
    <w:rsid w:val="00A54FA0"/>
    <w:rsid w:val="00A55F80"/>
    <w:rsid w:val="00A56001"/>
    <w:rsid w:val="00A56648"/>
    <w:rsid w:val="00A60BDA"/>
    <w:rsid w:val="00A62070"/>
    <w:rsid w:val="00A626B6"/>
    <w:rsid w:val="00A7186F"/>
    <w:rsid w:val="00A73CBC"/>
    <w:rsid w:val="00A74B57"/>
    <w:rsid w:val="00A7658F"/>
    <w:rsid w:val="00A81743"/>
    <w:rsid w:val="00A840BF"/>
    <w:rsid w:val="00A92C1B"/>
    <w:rsid w:val="00A94187"/>
    <w:rsid w:val="00A95181"/>
    <w:rsid w:val="00A96B21"/>
    <w:rsid w:val="00AA07E8"/>
    <w:rsid w:val="00AA13EB"/>
    <w:rsid w:val="00AA1C1B"/>
    <w:rsid w:val="00AA20F4"/>
    <w:rsid w:val="00AA708C"/>
    <w:rsid w:val="00AA7F88"/>
    <w:rsid w:val="00AB10E9"/>
    <w:rsid w:val="00AB20A3"/>
    <w:rsid w:val="00AB2F5D"/>
    <w:rsid w:val="00AB388D"/>
    <w:rsid w:val="00AB563E"/>
    <w:rsid w:val="00AC4713"/>
    <w:rsid w:val="00AC4869"/>
    <w:rsid w:val="00AC5822"/>
    <w:rsid w:val="00AC7D86"/>
    <w:rsid w:val="00AD0215"/>
    <w:rsid w:val="00AD504F"/>
    <w:rsid w:val="00AD6199"/>
    <w:rsid w:val="00AD6641"/>
    <w:rsid w:val="00AE11A4"/>
    <w:rsid w:val="00AE1208"/>
    <w:rsid w:val="00AE1A95"/>
    <w:rsid w:val="00AE6495"/>
    <w:rsid w:val="00AF2BE0"/>
    <w:rsid w:val="00AF3664"/>
    <w:rsid w:val="00AF4B54"/>
    <w:rsid w:val="00AF4F65"/>
    <w:rsid w:val="00B00493"/>
    <w:rsid w:val="00B008D7"/>
    <w:rsid w:val="00B02190"/>
    <w:rsid w:val="00B055C8"/>
    <w:rsid w:val="00B05E9E"/>
    <w:rsid w:val="00B07B0D"/>
    <w:rsid w:val="00B1273C"/>
    <w:rsid w:val="00B138ED"/>
    <w:rsid w:val="00B21920"/>
    <w:rsid w:val="00B21F88"/>
    <w:rsid w:val="00B227C0"/>
    <w:rsid w:val="00B22C98"/>
    <w:rsid w:val="00B24EAA"/>
    <w:rsid w:val="00B24F21"/>
    <w:rsid w:val="00B26237"/>
    <w:rsid w:val="00B30DC1"/>
    <w:rsid w:val="00B312EA"/>
    <w:rsid w:val="00B3256D"/>
    <w:rsid w:val="00B32821"/>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1369"/>
    <w:rsid w:val="00B925CC"/>
    <w:rsid w:val="00B95C5A"/>
    <w:rsid w:val="00BA328C"/>
    <w:rsid w:val="00BA3AF9"/>
    <w:rsid w:val="00BA445D"/>
    <w:rsid w:val="00BA491C"/>
    <w:rsid w:val="00BA4B45"/>
    <w:rsid w:val="00BA5FF8"/>
    <w:rsid w:val="00BA615B"/>
    <w:rsid w:val="00BA7FA7"/>
    <w:rsid w:val="00BB0394"/>
    <w:rsid w:val="00BB18F4"/>
    <w:rsid w:val="00BB2041"/>
    <w:rsid w:val="00BB341B"/>
    <w:rsid w:val="00BB50D7"/>
    <w:rsid w:val="00BB5A34"/>
    <w:rsid w:val="00BB6DE0"/>
    <w:rsid w:val="00BC0762"/>
    <w:rsid w:val="00BC0B21"/>
    <w:rsid w:val="00BC5C2C"/>
    <w:rsid w:val="00BD0982"/>
    <w:rsid w:val="00BD237A"/>
    <w:rsid w:val="00BD40D8"/>
    <w:rsid w:val="00BD52E6"/>
    <w:rsid w:val="00BD5F56"/>
    <w:rsid w:val="00BD6FD8"/>
    <w:rsid w:val="00BE03C7"/>
    <w:rsid w:val="00BE0982"/>
    <w:rsid w:val="00BE0B8F"/>
    <w:rsid w:val="00BE2036"/>
    <w:rsid w:val="00BE25B7"/>
    <w:rsid w:val="00BE25F6"/>
    <w:rsid w:val="00BE3AA5"/>
    <w:rsid w:val="00BE5019"/>
    <w:rsid w:val="00BE51D1"/>
    <w:rsid w:val="00BF5159"/>
    <w:rsid w:val="00BF5F93"/>
    <w:rsid w:val="00BF7787"/>
    <w:rsid w:val="00C00AD8"/>
    <w:rsid w:val="00C0280D"/>
    <w:rsid w:val="00C02926"/>
    <w:rsid w:val="00C02BB1"/>
    <w:rsid w:val="00C03365"/>
    <w:rsid w:val="00C04D14"/>
    <w:rsid w:val="00C0759D"/>
    <w:rsid w:val="00C07840"/>
    <w:rsid w:val="00C10676"/>
    <w:rsid w:val="00C13276"/>
    <w:rsid w:val="00C1340E"/>
    <w:rsid w:val="00C13B55"/>
    <w:rsid w:val="00C13D6B"/>
    <w:rsid w:val="00C16665"/>
    <w:rsid w:val="00C170B9"/>
    <w:rsid w:val="00C176E0"/>
    <w:rsid w:val="00C20B53"/>
    <w:rsid w:val="00C22F05"/>
    <w:rsid w:val="00C2354A"/>
    <w:rsid w:val="00C237EF"/>
    <w:rsid w:val="00C27FDB"/>
    <w:rsid w:val="00C30A63"/>
    <w:rsid w:val="00C30DF5"/>
    <w:rsid w:val="00C30F3D"/>
    <w:rsid w:val="00C33825"/>
    <w:rsid w:val="00C360C3"/>
    <w:rsid w:val="00C3647B"/>
    <w:rsid w:val="00C3671D"/>
    <w:rsid w:val="00C37890"/>
    <w:rsid w:val="00C402AF"/>
    <w:rsid w:val="00C418E7"/>
    <w:rsid w:val="00C44032"/>
    <w:rsid w:val="00C453A1"/>
    <w:rsid w:val="00C461EC"/>
    <w:rsid w:val="00C46C2F"/>
    <w:rsid w:val="00C47F7B"/>
    <w:rsid w:val="00C500C0"/>
    <w:rsid w:val="00C5370E"/>
    <w:rsid w:val="00C60361"/>
    <w:rsid w:val="00C60ED0"/>
    <w:rsid w:val="00C6598D"/>
    <w:rsid w:val="00C67139"/>
    <w:rsid w:val="00C706A4"/>
    <w:rsid w:val="00C7253B"/>
    <w:rsid w:val="00C7288D"/>
    <w:rsid w:val="00C77E6E"/>
    <w:rsid w:val="00C82482"/>
    <w:rsid w:val="00C85E0F"/>
    <w:rsid w:val="00C8630E"/>
    <w:rsid w:val="00C86555"/>
    <w:rsid w:val="00C86B4C"/>
    <w:rsid w:val="00C87D8A"/>
    <w:rsid w:val="00C90FAB"/>
    <w:rsid w:val="00C91D63"/>
    <w:rsid w:val="00C94392"/>
    <w:rsid w:val="00C97556"/>
    <w:rsid w:val="00CA1CEE"/>
    <w:rsid w:val="00CA44C2"/>
    <w:rsid w:val="00CA549E"/>
    <w:rsid w:val="00CA7BB6"/>
    <w:rsid w:val="00CA7DA5"/>
    <w:rsid w:val="00CB2482"/>
    <w:rsid w:val="00CB29D0"/>
    <w:rsid w:val="00CB4BCD"/>
    <w:rsid w:val="00CB7655"/>
    <w:rsid w:val="00CB7F9D"/>
    <w:rsid w:val="00CC0BCF"/>
    <w:rsid w:val="00CC1FE6"/>
    <w:rsid w:val="00CC34B9"/>
    <w:rsid w:val="00CC4695"/>
    <w:rsid w:val="00CD0628"/>
    <w:rsid w:val="00CD1A07"/>
    <w:rsid w:val="00CD2E05"/>
    <w:rsid w:val="00CD7578"/>
    <w:rsid w:val="00CD7FE7"/>
    <w:rsid w:val="00CE5842"/>
    <w:rsid w:val="00CE67E0"/>
    <w:rsid w:val="00CF1E81"/>
    <w:rsid w:val="00CF3EF8"/>
    <w:rsid w:val="00CF6A30"/>
    <w:rsid w:val="00CF70AB"/>
    <w:rsid w:val="00CF7FA2"/>
    <w:rsid w:val="00D001F8"/>
    <w:rsid w:val="00D02090"/>
    <w:rsid w:val="00D0210C"/>
    <w:rsid w:val="00D027D3"/>
    <w:rsid w:val="00D0425E"/>
    <w:rsid w:val="00D068DA"/>
    <w:rsid w:val="00D07458"/>
    <w:rsid w:val="00D11B5E"/>
    <w:rsid w:val="00D12AA9"/>
    <w:rsid w:val="00D1594B"/>
    <w:rsid w:val="00D20C3A"/>
    <w:rsid w:val="00D2215E"/>
    <w:rsid w:val="00D2505F"/>
    <w:rsid w:val="00D2650D"/>
    <w:rsid w:val="00D27342"/>
    <w:rsid w:val="00D3059B"/>
    <w:rsid w:val="00D30FBB"/>
    <w:rsid w:val="00D36900"/>
    <w:rsid w:val="00D36CDB"/>
    <w:rsid w:val="00D41F25"/>
    <w:rsid w:val="00D437F2"/>
    <w:rsid w:val="00D45E83"/>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3EA9"/>
    <w:rsid w:val="00D74C38"/>
    <w:rsid w:val="00D76274"/>
    <w:rsid w:val="00D77482"/>
    <w:rsid w:val="00D81030"/>
    <w:rsid w:val="00D82295"/>
    <w:rsid w:val="00D90590"/>
    <w:rsid w:val="00D92EE7"/>
    <w:rsid w:val="00D97D57"/>
    <w:rsid w:val="00DA0D3B"/>
    <w:rsid w:val="00DA40F9"/>
    <w:rsid w:val="00DA48A2"/>
    <w:rsid w:val="00DA5736"/>
    <w:rsid w:val="00DB1C25"/>
    <w:rsid w:val="00DB4AF8"/>
    <w:rsid w:val="00DB52CE"/>
    <w:rsid w:val="00DB5D88"/>
    <w:rsid w:val="00DB7956"/>
    <w:rsid w:val="00DC2210"/>
    <w:rsid w:val="00DC3E49"/>
    <w:rsid w:val="00DC486A"/>
    <w:rsid w:val="00DC749D"/>
    <w:rsid w:val="00DD0FA0"/>
    <w:rsid w:val="00DD388B"/>
    <w:rsid w:val="00DD3DC3"/>
    <w:rsid w:val="00DD428D"/>
    <w:rsid w:val="00DD48E5"/>
    <w:rsid w:val="00DD518E"/>
    <w:rsid w:val="00DD5DB7"/>
    <w:rsid w:val="00DE33FE"/>
    <w:rsid w:val="00DE7C2B"/>
    <w:rsid w:val="00DF5694"/>
    <w:rsid w:val="00DF6044"/>
    <w:rsid w:val="00DF7816"/>
    <w:rsid w:val="00E0079F"/>
    <w:rsid w:val="00E12054"/>
    <w:rsid w:val="00E1597C"/>
    <w:rsid w:val="00E209B5"/>
    <w:rsid w:val="00E2225A"/>
    <w:rsid w:val="00E22269"/>
    <w:rsid w:val="00E23619"/>
    <w:rsid w:val="00E23761"/>
    <w:rsid w:val="00E2623D"/>
    <w:rsid w:val="00E26464"/>
    <w:rsid w:val="00E335B5"/>
    <w:rsid w:val="00E34528"/>
    <w:rsid w:val="00E34972"/>
    <w:rsid w:val="00E34A3F"/>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A9A"/>
    <w:rsid w:val="00E53C48"/>
    <w:rsid w:val="00E5410F"/>
    <w:rsid w:val="00E54765"/>
    <w:rsid w:val="00E56C33"/>
    <w:rsid w:val="00E56F7F"/>
    <w:rsid w:val="00E57C34"/>
    <w:rsid w:val="00E602E9"/>
    <w:rsid w:val="00E6271F"/>
    <w:rsid w:val="00E63284"/>
    <w:rsid w:val="00E65CE7"/>
    <w:rsid w:val="00E66127"/>
    <w:rsid w:val="00E664B3"/>
    <w:rsid w:val="00E672A3"/>
    <w:rsid w:val="00E763D0"/>
    <w:rsid w:val="00E80300"/>
    <w:rsid w:val="00E80AE4"/>
    <w:rsid w:val="00E81B60"/>
    <w:rsid w:val="00E82D32"/>
    <w:rsid w:val="00E830ED"/>
    <w:rsid w:val="00E845AB"/>
    <w:rsid w:val="00E857CE"/>
    <w:rsid w:val="00E878D3"/>
    <w:rsid w:val="00E910F4"/>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71A"/>
    <w:rsid w:val="00EF5B8A"/>
    <w:rsid w:val="00EF5FD8"/>
    <w:rsid w:val="00EF67BA"/>
    <w:rsid w:val="00EF7032"/>
    <w:rsid w:val="00EF7961"/>
    <w:rsid w:val="00F012A1"/>
    <w:rsid w:val="00F01658"/>
    <w:rsid w:val="00F0252E"/>
    <w:rsid w:val="00F0365C"/>
    <w:rsid w:val="00F03771"/>
    <w:rsid w:val="00F0478F"/>
    <w:rsid w:val="00F04AD0"/>
    <w:rsid w:val="00F06290"/>
    <w:rsid w:val="00F073D3"/>
    <w:rsid w:val="00F077B6"/>
    <w:rsid w:val="00F1001F"/>
    <w:rsid w:val="00F11844"/>
    <w:rsid w:val="00F12784"/>
    <w:rsid w:val="00F14323"/>
    <w:rsid w:val="00F14609"/>
    <w:rsid w:val="00F173F2"/>
    <w:rsid w:val="00F17B2B"/>
    <w:rsid w:val="00F20D1E"/>
    <w:rsid w:val="00F258FB"/>
    <w:rsid w:val="00F274D0"/>
    <w:rsid w:val="00F27C19"/>
    <w:rsid w:val="00F27F65"/>
    <w:rsid w:val="00F31F75"/>
    <w:rsid w:val="00F324D7"/>
    <w:rsid w:val="00F34417"/>
    <w:rsid w:val="00F35097"/>
    <w:rsid w:val="00F3568E"/>
    <w:rsid w:val="00F3619A"/>
    <w:rsid w:val="00F36D3F"/>
    <w:rsid w:val="00F4034A"/>
    <w:rsid w:val="00F44BBB"/>
    <w:rsid w:val="00F45AB8"/>
    <w:rsid w:val="00F47F34"/>
    <w:rsid w:val="00F53308"/>
    <w:rsid w:val="00F533AB"/>
    <w:rsid w:val="00F534B8"/>
    <w:rsid w:val="00F53729"/>
    <w:rsid w:val="00F54237"/>
    <w:rsid w:val="00F54528"/>
    <w:rsid w:val="00F60EEC"/>
    <w:rsid w:val="00F6127F"/>
    <w:rsid w:val="00F61944"/>
    <w:rsid w:val="00F61D93"/>
    <w:rsid w:val="00F61E3C"/>
    <w:rsid w:val="00F6299F"/>
    <w:rsid w:val="00F6334D"/>
    <w:rsid w:val="00F637A3"/>
    <w:rsid w:val="00F64E96"/>
    <w:rsid w:val="00F67050"/>
    <w:rsid w:val="00F74587"/>
    <w:rsid w:val="00F74DEB"/>
    <w:rsid w:val="00F75F90"/>
    <w:rsid w:val="00F77FB1"/>
    <w:rsid w:val="00F81A82"/>
    <w:rsid w:val="00F82179"/>
    <w:rsid w:val="00F824EA"/>
    <w:rsid w:val="00F83A2B"/>
    <w:rsid w:val="00F850A4"/>
    <w:rsid w:val="00F85313"/>
    <w:rsid w:val="00F85A04"/>
    <w:rsid w:val="00F8610E"/>
    <w:rsid w:val="00F871BC"/>
    <w:rsid w:val="00F90E5E"/>
    <w:rsid w:val="00F964B2"/>
    <w:rsid w:val="00FA18C9"/>
    <w:rsid w:val="00FA4056"/>
    <w:rsid w:val="00FA46E1"/>
    <w:rsid w:val="00FB0662"/>
    <w:rsid w:val="00FB0791"/>
    <w:rsid w:val="00FB22B3"/>
    <w:rsid w:val="00FB2A23"/>
    <w:rsid w:val="00FB33CF"/>
    <w:rsid w:val="00FB3B15"/>
    <w:rsid w:val="00FB3D92"/>
    <w:rsid w:val="00FB7FA5"/>
    <w:rsid w:val="00FC3879"/>
    <w:rsid w:val="00FC4AEA"/>
    <w:rsid w:val="00FC730F"/>
    <w:rsid w:val="00FD2A21"/>
    <w:rsid w:val="00FD3188"/>
    <w:rsid w:val="00FD350F"/>
    <w:rsid w:val="00FD3B60"/>
    <w:rsid w:val="00FD40BE"/>
    <w:rsid w:val="00FD4C29"/>
    <w:rsid w:val="00FD5C1A"/>
    <w:rsid w:val="00FD5C95"/>
    <w:rsid w:val="00FE279A"/>
    <w:rsid w:val="00FE2C21"/>
    <w:rsid w:val="00FE3E37"/>
    <w:rsid w:val="00FE42B8"/>
    <w:rsid w:val="00FE4526"/>
    <w:rsid w:val="00FE46D1"/>
    <w:rsid w:val="00FE4B02"/>
    <w:rsid w:val="00FF0ED5"/>
    <w:rsid w:val="00FF2278"/>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76F1E"/>
    <w:pPr>
      <w:ind w:left="720"/>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iPriority w:val="99"/>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uiPriority w:val="99"/>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7"/>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321AE5"/>
    <w:pPr>
      <w:tabs>
        <w:tab w:val="clear" w:pos="567"/>
        <w:tab w:val="clear" w:pos="1134"/>
        <w:tab w:val="clear" w:pos="1701"/>
        <w:tab w:val="clear" w:pos="2268"/>
        <w:tab w:val="right" w:leader="dot" w:pos="9372"/>
      </w:tabs>
      <w:spacing w:after="100"/>
      <w:ind w:left="567" w:hanging="567"/>
      <w:jc w:val="left"/>
    </w:pPr>
    <w:rPr>
      <w:rFonts w:ascii="SimSun" w:hAnsi="SimSun"/>
      <w:caps/>
      <w:noProof/>
      <w:sz w:val="24"/>
      <w:szCs w:val="24"/>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uiPriority w:val="39"/>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8"/>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 w:type="paragraph" w:customStyle="1" w:styleId="StylePara1Before0pt">
    <w:name w:val="Style Para1 + Before:  0 pt"/>
    <w:basedOn w:val="Normal"/>
    <w:rsid w:val="00CA7DA5"/>
    <w:pPr>
      <w:numPr>
        <w:numId w:val="13"/>
      </w:numPr>
      <w:tabs>
        <w:tab w:val="clear" w:pos="1080"/>
      </w:tabs>
      <w:spacing w:before="120" w:after="120"/>
      <w:ind w:left="927"/>
      <w:jc w:val="left"/>
    </w:pPr>
    <w:rPr>
      <w:snapToGrid w:val="0"/>
      <w:sz w:val="24"/>
      <w:szCs w:val="20"/>
      <w:lang w:val="en-CA"/>
    </w:rPr>
  </w:style>
  <w:style w:type="character" w:customStyle="1" w:styleId="None">
    <w:name w:val="None"/>
    <w:rsid w:val="00CA7DA5"/>
  </w:style>
  <w:style w:type="paragraph" w:styleId="ListBullet2">
    <w:name w:val="List Bullet 2"/>
    <w:basedOn w:val="Normal"/>
    <w:uiPriority w:val="99"/>
    <w:semiHidden/>
    <w:unhideWhenUsed/>
    <w:rsid w:val="00CA7DA5"/>
    <w:pPr>
      <w:numPr>
        <w:numId w:val="14"/>
      </w:numPr>
      <w:contextualSpacing/>
    </w:pPr>
    <w:rPr>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CA7DA5"/>
    <w:pPr>
      <w:tabs>
        <w:tab w:val="clear" w:pos="567"/>
        <w:tab w:val="clear" w:pos="1134"/>
        <w:tab w:val="clear" w:pos="1701"/>
        <w:tab w:val="clear" w:pos="2268"/>
      </w:tabs>
      <w:snapToGrid w:val="0"/>
      <w:spacing w:before="60" w:after="160" w:line="240" w:lineRule="exact"/>
    </w:pPr>
    <w:rPr>
      <w:rFonts w:asciiTheme="minorHAnsi" w:eastAsiaTheme="minorHAnsi" w:hAnsiTheme="minorHAnsi" w:cstheme="minorBidi"/>
      <w:kern w:val="2"/>
      <w:vertAlign w:val="superscript"/>
      <w:lang w:val="en-GB"/>
      <w14:ligatures w14:val="standardContextual"/>
    </w:rPr>
  </w:style>
  <w:style w:type="table" w:customStyle="1" w:styleId="TableGrid3">
    <w:name w:val="Table Grid3"/>
    <w:basedOn w:val="TableNormal"/>
    <w:next w:val="TableGrid"/>
    <w:rsid w:val="00153B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1Kernat11pt">
    <w:name w:val="Style Para1 + Kern at 11 pt"/>
    <w:basedOn w:val="Normal"/>
    <w:rsid w:val="00E34A3F"/>
    <w:pPr>
      <w:spacing w:before="120" w:after="120"/>
    </w:pPr>
    <w:rPr>
      <w:snapToGrid w:val="0"/>
      <w:kern w:val="22"/>
      <w:szCs w:val="18"/>
      <w14:ligatures w14:val="standardContextual"/>
    </w:rPr>
  </w:style>
  <w:style w:type="paragraph" w:styleId="ListBullet">
    <w:name w:val="List Bullet"/>
    <w:basedOn w:val="Normal"/>
    <w:uiPriority w:val="99"/>
    <w:semiHidden/>
    <w:unhideWhenUsed/>
    <w:rsid w:val="00160474"/>
    <w:pPr>
      <w:numPr>
        <w:numId w:val="15"/>
      </w:numPr>
      <w:contextualSpacing/>
    </w:pPr>
    <w:rPr>
      <w:lang w:val="en-GB"/>
    </w:rPr>
  </w:style>
  <w:style w:type="paragraph" w:styleId="ListBullet3">
    <w:name w:val="List Bullet 3"/>
    <w:basedOn w:val="Normal"/>
    <w:uiPriority w:val="99"/>
    <w:semiHidden/>
    <w:unhideWhenUsed/>
    <w:rsid w:val="00160474"/>
    <w:pPr>
      <w:numPr>
        <w:numId w:val="16"/>
      </w:numPr>
      <w:contextualSpacing/>
    </w:pPr>
    <w:rPr>
      <w:lang w:val="en-GB"/>
    </w:rPr>
  </w:style>
  <w:style w:type="character" w:customStyle="1" w:styleId="style21">
    <w:name w:val="style21"/>
    <w:basedOn w:val="DefaultParagraphFont"/>
    <w:rsid w:val="00803EB4"/>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916355949">
      <w:bodyDiv w:val="1"/>
      <w:marLeft w:val="0"/>
      <w:marRight w:val="0"/>
      <w:marTop w:val="0"/>
      <w:marBottom w:val="0"/>
      <w:divBdr>
        <w:top w:val="none" w:sz="0" w:space="0" w:color="auto"/>
        <w:left w:val="none" w:sz="0" w:space="0" w:color="auto"/>
        <w:bottom w:val="none" w:sz="0" w:space="0" w:color="auto"/>
        <w:right w:val="none" w:sz="0" w:space="0" w:color="auto"/>
      </w:divBdr>
    </w:div>
    <w:div w:id="1249074917">
      <w:bodyDiv w:val="1"/>
      <w:marLeft w:val="0"/>
      <w:marRight w:val="0"/>
      <w:marTop w:val="0"/>
      <w:marBottom w:val="0"/>
      <w:divBdr>
        <w:top w:val="none" w:sz="0" w:space="0" w:color="auto"/>
        <w:left w:val="none" w:sz="0" w:space="0" w:color="auto"/>
        <w:bottom w:val="none" w:sz="0" w:space="0" w:color="auto"/>
        <w:right w:val="none" w:sz="0" w:space="0" w:color="auto"/>
      </w:divBdr>
      <w:divsChild>
        <w:div w:id="1628077572">
          <w:marLeft w:val="0"/>
          <w:marRight w:val="0"/>
          <w:marTop w:val="150"/>
          <w:marBottom w:val="150"/>
          <w:divBdr>
            <w:top w:val="none" w:sz="0" w:space="0" w:color="auto"/>
            <w:left w:val="none" w:sz="0" w:space="0" w:color="auto"/>
            <w:bottom w:val="none" w:sz="0" w:space="0" w:color="auto"/>
            <w:right w:val="none" w:sz="0" w:space="0" w:color="auto"/>
          </w:divBdr>
          <w:divsChild>
            <w:div w:id="1291862553">
              <w:marLeft w:val="0"/>
              <w:marRight w:val="0"/>
              <w:marTop w:val="0"/>
              <w:marBottom w:val="0"/>
              <w:divBdr>
                <w:top w:val="none" w:sz="0" w:space="0" w:color="auto"/>
                <w:left w:val="none" w:sz="0" w:space="0" w:color="auto"/>
                <w:bottom w:val="none" w:sz="0" w:space="0" w:color="auto"/>
                <w:right w:val="none" w:sz="0" w:space="0" w:color="auto"/>
              </w:divBdr>
            </w:div>
          </w:divsChild>
        </w:div>
        <w:div w:id="1755516003">
          <w:marLeft w:val="0"/>
          <w:marRight w:val="0"/>
          <w:marTop w:val="150"/>
          <w:marBottom w:val="150"/>
          <w:divBdr>
            <w:top w:val="none" w:sz="0" w:space="0" w:color="auto"/>
            <w:left w:val="none" w:sz="0" w:space="0" w:color="auto"/>
            <w:bottom w:val="none" w:sz="0" w:space="0" w:color="auto"/>
            <w:right w:val="none" w:sz="0" w:space="0" w:color="auto"/>
          </w:divBdr>
          <w:divsChild>
            <w:div w:id="438528113">
              <w:marLeft w:val="0"/>
              <w:marRight w:val="0"/>
              <w:marTop w:val="0"/>
              <w:marBottom w:val="0"/>
              <w:divBdr>
                <w:top w:val="none" w:sz="0" w:space="0" w:color="auto"/>
                <w:left w:val="none" w:sz="0" w:space="0" w:color="auto"/>
                <w:bottom w:val="none" w:sz="0" w:space="0" w:color="auto"/>
                <w:right w:val="none" w:sz="0" w:space="0" w:color="auto"/>
              </w:divBdr>
            </w:div>
          </w:divsChild>
        </w:div>
        <w:div w:id="1940873398">
          <w:marLeft w:val="0"/>
          <w:marRight w:val="0"/>
          <w:marTop w:val="150"/>
          <w:marBottom w:val="150"/>
          <w:divBdr>
            <w:top w:val="none" w:sz="0" w:space="0" w:color="auto"/>
            <w:left w:val="none" w:sz="0" w:space="0" w:color="auto"/>
            <w:bottom w:val="none" w:sz="0" w:space="0" w:color="auto"/>
            <w:right w:val="none" w:sz="0" w:space="0" w:color="auto"/>
          </w:divBdr>
          <w:divsChild>
            <w:div w:id="11414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678">
      <w:bodyDiv w:val="1"/>
      <w:marLeft w:val="0"/>
      <w:marRight w:val="0"/>
      <w:marTop w:val="0"/>
      <w:marBottom w:val="0"/>
      <w:divBdr>
        <w:top w:val="none" w:sz="0" w:space="0" w:color="auto"/>
        <w:left w:val="none" w:sz="0" w:space="0" w:color="auto"/>
        <w:bottom w:val="none" w:sz="0" w:space="0" w:color="auto"/>
        <w:right w:val="none" w:sz="0" w:space="0" w:color="auto"/>
      </w:divBdr>
      <w:divsChild>
        <w:div w:id="30542914">
          <w:marLeft w:val="0"/>
          <w:marRight w:val="0"/>
          <w:marTop w:val="150"/>
          <w:marBottom w:val="150"/>
          <w:divBdr>
            <w:top w:val="none" w:sz="0" w:space="0" w:color="auto"/>
            <w:left w:val="none" w:sz="0" w:space="0" w:color="auto"/>
            <w:bottom w:val="none" w:sz="0" w:space="0" w:color="auto"/>
            <w:right w:val="none" w:sz="0" w:space="0" w:color="auto"/>
          </w:divBdr>
          <w:divsChild>
            <w:div w:id="1098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48522">
      <w:bodyDiv w:val="1"/>
      <w:marLeft w:val="0"/>
      <w:marRight w:val="0"/>
      <w:marTop w:val="0"/>
      <w:marBottom w:val="0"/>
      <w:divBdr>
        <w:top w:val="none" w:sz="0" w:space="0" w:color="auto"/>
        <w:left w:val="none" w:sz="0" w:space="0" w:color="auto"/>
        <w:bottom w:val="none" w:sz="0" w:space="0" w:color="auto"/>
        <w:right w:val="none" w:sz="0" w:space="0" w:color="auto"/>
      </w:divBdr>
    </w:div>
    <w:div w:id="1510219885">
      <w:bodyDiv w:val="1"/>
      <w:marLeft w:val="0"/>
      <w:marRight w:val="0"/>
      <w:marTop w:val="0"/>
      <w:marBottom w:val="0"/>
      <w:divBdr>
        <w:top w:val="none" w:sz="0" w:space="0" w:color="auto"/>
        <w:left w:val="none" w:sz="0" w:space="0" w:color="auto"/>
        <w:bottom w:val="none" w:sz="0" w:space="0" w:color="auto"/>
        <w:right w:val="none" w:sz="0" w:space="0" w:color="auto"/>
      </w:divBdr>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 w:id="2112387979">
      <w:bodyDiv w:val="1"/>
      <w:marLeft w:val="0"/>
      <w:marRight w:val="0"/>
      <w:marTop w:val="0"/>
      <w:marBottom w:val="0"/>
      <w:divBdr>
        <w:top w:val="none" w:sz="0" w:space="0" w:color="auto"/>
        <w:left w:val="none" w:sz="0" w:space="0" w:color="auto"/>
        <w:bottom w:val="none" w:sz="0" w:space="0" w:color="auto"/>
        <w:right w:val="none" w:sz="0" w:space="0" w:color="auto"/>
      </w:divBdr>
      <w:divsChild>
        <w:div w:id="111023565">
          <w:marLeft w:val="0"/>
          <w:marRight w:val="0"/>
          <w:marTop w:val="150"/>
          <w:marBottom w:val="150"/>
          <w:divBdr>
            <w:top w:val="none" w:sz="0" w:space="0" w:color="auto"/>
            <w:left w:val="none" w:sz="0" w:space="0" w:color="auto"/>
            <w:bottom w:val="none" w:sz="0" w:space="0" w:color="auto"/>
            <w:right w:val="none" w:sz="0" w:space="0" w:color="auto"/>
          </w:divBdr>
          <w:divsChild>
            <w:div w:id="1260136598">
              <w:marLeft w:val="0"/>
              <w:marRight w:val="0"/>
              <w:marTop w:val="0"/>
              <w:marBottom w:val="0"/>
              <w:divBdr>
                <w:top w:val="none" w:sz="0" w:space="0" w:color="auto"/>
                <w:left w:val="none" w:sz="0" w:space="0" w:color="auto"/>
                <w:bottom w:val="none" w:sz="0" w:space="0" w:color="auto"/>
                <w:right w:val="none" w:sz="0" w:space="0" w:color="auto"/>
              </w:divBdr>
            </w:div>
          </w:divsChild>
        </w:div>
        <w:div w:id="1936551373">
          <w:marLeft w:val="0"/>
          <w:marRight w:val="0"/>
          <w:marTop w:val="150"/>
          <w:marBottom w:val="150"/>
          <w:divBdr>
            <w:top w:val="none" w:sz="0" w:space="0" w:color="auto"/>
            <w:left w:val="none" w:sz="0" w:space="0" w:color="auto"/>
            <w:bottom w:val="none" w:sz="0" w:space="0" w:color="auto"/>
            <w:right w:val="none" w:sz="0" w:space="0" w:color="auto"/>
          </w:divBdr>
          <w:divsChild>
            <w:div w:id="1838304558">
              <w:marLeft w:val="0"/>
              <w:marRight w:val="0"/>
              <w:marTop w:val="0"/>
              <w:marBottom w:val="0"/>
              <w:divBdr>
                <w:top w:val="none" w:sz="0" w:space="0" w:color="auto"/>
                <w:left w:val="none" w:sz="0" w:space="0" w:color="auto"/>
                <w:bottom w:val="none" w:sz="0" w:space="0" w:color="auto"/>
                <w:right w:val="none" w:sz="0" w:space="0" w:color="auto"/>
              </w:divBdr>
            </w:div>
          </w:divsChild>
        </w:div>
        <w:div w:id="440221920">
          <w:marLeft w:val="0"/>
          <w:marRight w:val="0"/>
          <w:marTop w:val="150"/>
          <w:marBottom w:val="150"/>
          <w:divBdr>
            <w:top w:val="none" w:sz="0" w:space="0" w:color="auto"/>
            <w:left w:val="none" w:sz="0" w:space="0" w:color="auto"/>
            <w:bottom w:val="none" w:sz="0" w:space="0" w:color="auto"/>
            <w:right w:val="none" w:sz="0" w:space="0" w:color="auto"/>
          </w:divBdr>
          <w:divsChild>
            <w:div w:id="17474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10/cp-mop-10-dec-13-zh.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decisions/mop/?m=cp-mop-10" TargetMode="External"/><Relationship Id="rId1" Type="http://schemas.openxmlformats.org/officeDocument/2006/relationships/hyperlink" Target="https://www.cbd.int/decisions/mop/?m=cp-mop-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template-sbi-04 (1).dotm</Template>
  <TotalTime>43</TotalTime>
  <Pages>2</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为作为卡塔赫纳生物安全议定书缔约方会议的生物多样性公约缔约方大会第十一次会议编制的决定草案汇编</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为作为卡塔赫纳生物安全议定书缔约方会议的生物多样性公约缔约方大会第十一次会议编制的决定草案汇编</dc:title>
  <dc:subject>CBD/CP/MOP/DEC/11/10</dc:subject>
  <dc:creator>guilherme.patury</dc:creator>
  <cp:keywords/>
  <dc:description/>
  <cp:lastModifiedBy>SCBD</cp:lastModifiedBy>
  <cp:revision>4</cp:revision>
  <cp:lastPrinted>2024-09-10T13:48:00Z</cp:lastPrinted>
  <dcterms:created xsi:type="dcterms:W3CDTF">2025-02-17T23:55:00Z</dcterms:created>
  <dcterms:modified xsi:type="dcterms:W3CDTF">2025-02-18T00:47:00Z</dcterms:modified>
</cp:coreProperties>
</file>