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C44DC8" w:rsidRPr="00784F6A" w14:paraId="230B436B" w14:textId="77777777" w:rsidTr="0027621C">
        <w:trPr>
          <w:trHeight w:val="851"/>
        </w:trPr>
        <w:tc>
          <w:tcPr>
            <w:tcW w:w="465" w:type="pct"/>
            <w:tcBorders>
              <w:bottom w:val="single" w:sz="8" w:space="0" w:color="auto"/>
            </w:tcBorders>
            <w:vAlign w:val="bottom"/>
          </w:tcPr>
          <w:p w14:paraId="64034AF2" w14:textId="77777777" w:rsidR="00C44DC8" w:rsidRPr="00784F6A" w:rsidRDefault="00C44DC8" w:rsidP="0027621C">
            <w:pPr>
              <w:spacing w:after="120"/>
              <w:jc w:val="left"/>
            </w:pPr>
            <w:bookmarkStart w:id="0" w:name="_Hlk137651738"/>
            <w:r w:rsidRPr="00784F6A">
              <w:rPr>
                <w:noProof/>
                <w:lang w:eastAsia="fr-CA"/>
              </w:rPr>
              <w:drawing>
                <wp:inline distT="0" distB="0" distL="0" distR="0" wp14:anchorId="06D0E17B" wp14:editId="1666DE7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D5F0E23" w14:textId="77777777" w:rsidR="00C44DC8" w:rsidRPr="00784F6A" w:rsidRDefault="006742A9" w:rsidP="0027621C">
            <w:pPr>
              <w:spacing w:after="120"/>
              <w:jc w:val="left"/>
            </w:pPr>
            <w:r w:rsidRPr="00784F6A">
              <w:rPr>
                <w:noProof/>
                <w:lang w:eastAsia="fr-CA"/>
              </w:rPr>
              <w:drawing>
                <wp:inline distT="0" distB="0" distL="0" distR="0" wp14:anchorId="03721ABC" wp14:editId="4B78500D">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72AE47F4" w14:textId="205BA70A" w:rsidR="00C44DC8" w:rsidRPr="00784F6A" w:rsidRDefault="00F67F3E" w:rsidP="00AF00DE">
            <w:pPr>
              <w:pStyle w:val="ABSymbol"/>
              <w:rPr>
                <w:szCs w:val="22"/>
              </w:rPr>
            </w:pPr>
            <w:r w:rsidRPr="00A3097C">
              <w:rPr>
                <w:sz w:val="40"/>
              </w:rPr>
              <w:t>CBD</w:t>
            </w:r>
            <w:r w:rsidRPr="00D35040">
              <w:rPr>
                <w:sz w:val="22"/>
                <w:szCs w:val="22"/>
              </w:rPr>
              <w:t>/COP/</w:t>
            </w:r>
            <w:r>
              <w:rPr>
                <w:sz w:val="22"/>
                <w:szCs w:val="22"/>
              </w:rPr>
              <w:t>DEC/</w:t>
            </w:r>
            <w:r w:rsidRPr="00D35040">
              <w:rPr>
                <w:sz w:val="22"/>
                <w:szCs w:val="22"/>
              </w:rPr>
              <w:t>16/</w:t>
            </w:r>
            <w:r>
              <w:rPr>
                <w:sz w:val="22"/>
                <w:szCs w:val="22"/>
              </w:rPr>
              <w:t>33</w:t>
            </w:r>
          </w:p>
        </w:tc>
      </w:tr>
      <w:tr w:rsidR="00C44DC8" w:rsidRPr="00784F6A" w14:paraId="0D5B8FC2" w14:textId="77777777" w:rsidTr="0027621C">
        <w:tc>
          <w:tcPr>
            <w:tcW w:w="2297" w:type="pct"/>
            <w:gridSpan w:val="2"/>
            <w:tcBorders>
              <w:top w:val="single" w:sz="8" w:space="0" w:color="auto"/>
              <w:bottom w:val="single" w:sz="12" w:space="0" w:color="auto"/>
            </w:tcBorders>
          </w:tcPr>
          <w:p w14:paraId="02262961" w14:textId="77777777" w:rsidR="00C44DC8" w:rsidRPr="00784F6A" w:rsidRDefault="006742A9" w:rsidP="0027621C">
            <w:pPr>
              <w:pStyle w:val="Cornernotation"/>
              <w:suppressLineNumbers/>
              <w:suppressAutoHyphens/>
              <w:spacing w:before="120" w:after="120"/>
              <w:ind w:right="0"/>
            </w:pPr>
            <w:r w:rsidRPr="00784F6A">
              <w:rPr>
                <w:noProof/>
                <w:lang w:eastAsia="fr-CA"/>
              </w:rPr>
              <w:drawing>
                <wp:inline distT="0" distB="0" distL="0" distR="0" wp14:anchorId="61A3CD93" wp14:editId="64126BD9">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D0E28FC" w14:textId="268C637D" w:rsidR="00C44DC8" w:rsidRPr="00784F6A" w:rsidRDefault="00C44DC8" w:rsidP="0027621C">
            <w:pPr>
              <w:ind w:left="2584"/>
              <w:rPr>
                <w:noProof/>
                <w:sz w:val="22"/>
                <w:szCs w:val="22"/>
              </w:rPr>
            </w:pPr>
            <w:r w:rsidRPr="00784F6A">
              <w:rPr>
                <w:noProof/>
                <w:sz w:val="22"/>
                <w:szCs w:val="22"/>
              </w:rPr>
              <w:t>Distr.</w:t>
            </w:r>
            <w:r w:rsidR="00784F6A" w:rsidRPr="00784F6A">
              <w:rPr>
                <w:noProof/>
                <w:sz w:val="22"/>
                <w:szCs w:val="22"/>
              </w:rPr>
              <w:t xml:space="preserve"> : </w:t>
            </w:r>
            <w:r w:rsidR="00F67F3E">
              <w:rPr>
                <w:noProof/>
                <w:sz w:val="22"/>
                <w:szCs w:val="22"/>
              </w:rPr>
              <w:t>générale</w:t>
            </w:r>
          </w:p>
          <w:p w14:paraId="73470E9B" w14:textId="77777777" w:rsidR="00C44DC8" w:rsidRPr="00784F6A" w:rsidRDefault="00656D3B" w:rsidP="0027621C">
            <w:pPr>
              <w:ind w:left="2584"/>
              <w:rPr>
                <w:sz w:val="22"/>
                <w:szCs w:val="22"/>
              </w:rPr>
            </w:pPr>
            <w:r w:rsidRPr="00784F6A">
              <w:rPr>
                <w:sz w:val="22"/>
                <w:szCs w:val="22"/>
              </w:rPr>
              <w:t>27</w:t>
            </w:r>
            <w:r w:rsidR="00436638" w:rsidRPr="00784F6A">
              <w:rPr>
                <w:sz w:val="22"/>
                <w:szCs w:val="22"/>
              </w:rPr>
              <w:t> </w:t>
            </w:r>
            <w:r w:rsidRPr="00784F6A">
              <w:rPr>
                <w:sz w:val="22"/>
                <w:szCs w:val="22"/>
              </w:rPr>
              <w:t>février</w:t>
            </w:r>
            <w:r w:rsidR="00436638" w:rsidRPr="00784F6A">
              <w:rPr>
                <w:sz w:val="22"/>
                <w:szCs w:val="22"/>
              </w:rPr>
              <w:t> </w:t>
            </w:r>
            <w:r w:rsidRPr="00784F6A">
              <w:rPr>
                <w:sz w:val="22"/>
                <w:szCs w:val="22"/>
              </w:rPr>
              <w:t>2025</w:t>
            </w:r>
          </w:p>
          <w:p w14:paraId="080856F3" w14:textId="77777777" w:rsidR="00C44DC8" w:rsidRPr="00784F6A" w:rsidRDefault="006742A9" w:rsidP="0027621C">
            <w:pPr>
              <w:ind w:left="2584"/>
              <w:rPr>
                <w:sz w:val="22"/>
                <w:szCs w:val="22"/>
              </w:rPr>
            </w:pPr>
            <w:r w:rsidRPr="00784F6A">
              <w:rPr>
                <w:sz w:val="22"/>
                <w:szCs w:val="22"/>
              </w:rPr>
              <w:t>Français</w:t>
            </w:r>
          </w:p>
          <w:p w14:paraId="42FC5C34" w14:textId="77777777" w:rsidR="00C44DC8" w:rsidRPr="00784F6A" w:rsidRDefault="00C44DC8" w:rsidP="0027621C">
            <w:pPr>
              <w:ind w:left="2584"/>
              <w:rPr>
                <w:sz w:val="22"/>
                <w:szCs w:val="22"/>
              </w:rPr>
            </w:pPr>
            <w:r w:rsidRPr="00784F6A">
              <w:rPr>
                <w:sz w:val="22"/>
                <w:szCs w:val="22"/>
              </w:rPr>
              <w:t xml:space="preserve">Original : </w:t>
            </w:r>
            <w:r w:rsidR="00747E56" w:rsidRPr="00784F6A">
              <w:rPr>
                <w:sz w:val="22"/>
                <w:szCs w:val="22"/>
              </w:rPr>
              <w:t>a</w:t>
            </w:r>
            <w:r w:rsidRPr="00784F6A">
              <w:rPr>
                <w:sz w:val="22"/>
                <w:szCs w:val="22"/>
              </w:rPr>
              <w:t>nglais</w:t>
            </w:r>
          </w:p>
          <w:p w14:paraId="666A0C02" w14:textId="77777777" w:rsidR="00C44DC8" w:rsidRPr="00784F6A" w:rsidRDefault="00C44DC8" w:rsidP="0027621C"/>
        </w:tc>
      </w:tr>
    </w:tbl>
    <w:p w14:paraId="0CA6AF97" w14:textId="77777777" w:rsidR="00C44DC8" w:rsidRPr="00784F6A" w:rsidRDefault="00C44DC8" w:rsidP="00875C09">
      <w:pPr>
        <w:pStyle w:val="AFCorNot12Bold"/>
      </w:pPr>
      <w:r w:rsidRPr="00784F6A">
        <w:t>Conférence des Parties à la</w:t>
      </w:r>
      <w:r w:rsidRPr="00784F6A">
        <w:br/>
        <w:t>Convention sur la diversité biologique</w:t>
      </w:r>
    </w:p>
    <w:p w14:paraId="71AAEA7A" w14:textId="77777777" w:rsidR="00C44DC8" w:rsidRPr="00784F6A" w:rsidRDefault="00C44DC8" w:rsidP="00875C09">
      <w:pPr>
        <w:pStyle w:val="AFCorNotBold"/>
        <w:jc w:val="left"/>
      </w:pPr>
      <w:r w:rsidRPr="00784F6A">
        <w:t>Seizième réunion</w:t>
      </w:r>
      <w:r w:rsidR="00BA18CA" w:rsidRPr="00784F6A">
        <w:t>, deuxième reprise de session</w:t>
      </w:r>
    </w:p>
    <w:p w14:paraId="44F2341E" w14:textId="77777777" w:rsidR="00C44DC8" w:rsidRPr="00784F6A" w:rsidRDefault="00784F6A" w:rsidP="00875C09">
      <w:pPr>
        <w:pStyle w:val="AFCorNotNormal"/>
        <w:jc w:val="left"/>
      </w:pPr>
      <w:r>
        <w:t>Rome, 25-27 </w:t>
      </w:r>
      <w:r w:rsidR="00BA18CA" w:rsidRPr="00784F6A">
        <w:t>février</w:t>
      </w:r>
      <w:r w:rsidR="00436638" w:rsidRPr="00784F6A">
        <w:t> </w:t>
      </w:r>
      <w:r w:rsidR="00BA18CA" w:rsidRPr="00784F6A">
        <w:t>2025</w:t>
      </w:r>
    </w:p>
    <w:p w14:paraId="1AC64F06" w14:textId="77777777" w:rsidR="00C44DC8" w:rsidRPr="00784F6A" w:rsidRDefault="00C44DC8" w:rsidP="00875C09">
      <w:pPr>
        <w:pStyle w:val="AFCorNotNormal"/>
        <w:jc w:val="left"/>
        <w:rPr>
          <w:b/>
          <w:bCs/>
        </w:rPr>
      </w:pPr>
      <w:r w:rsidRPr="00784F6A">
        <w:t>Point</w:t>
      </w:r>
      <w:r w:rsidR="006742A9" w:rsidRPr="00784F6A">
        <w:t> </w:t>
      </w:r>
      <w:r w:rsidRPr="00784F6A">
        <w:t>11 de l</w:t>
      </w:r>
      <w:r w:rsidR="0059442D">
        <w:t>’</w:t>
      </w:r>
      <w:r w:rsidRPr="00784F6A">
        <w:t>ordre du jour</w:t>
      </w:r>
    </w:p>
    <w:p w14:paraId="44D250C7" w14:textId="77777777" w:rsidR="00C44DC8" w:rsidRPr="00784F6A" w:rsidRDefault="00BA18CA" w:rsidP="00875C09">
      <w:pPr>
        <w:pStyle w:val="AFCorNotBold"/>
        <w:jc w:val="left"/>
      </w:pPr>
      <w:r w:rsidRPr="00784F6A">
        <w:t>Mobilisation des ressources et mécanisme de financement</w:t>
      </w:r>
    </w:p>
    <w:bookmarkEnd w:id="0"/>
    <w:p w14:paraId="5371B397" w14:textId="2943C4B2" w:rsidR="00C44DC8" w:rsidRPr="00784F6A" w:rsidRDefault="00F67F3E" w:rsidP="00C44DC8">
      <w:pPr>
        <w:pStyle w:val="CBDTitle"/>
      </w:pPr>
      <w:r w:rsidRPr="00F67F3E">
        <w:t>Décision adoptée par la Conférence des Parties à la Convention sur la diversité biologique le 27 février 2025</w:t>
      </w:r>
      <w:r w:rsidRPr="00F67F3E">
        <w:t xml:space="preserve"> </w:t>
      </w:r>
    </w:p>
    <w:p w14:paraId="4C0384C4" w14:textId="6186E352" w:rsidR="00C44DC8" w:rsidRPr="00784F6A" w:rsidRDefault="00F67F3E" w:rsidP="004515B1">
      <w:pPr>
        <w:pStyle w:val="CBDSubTitle"/>
        <w:tabs>
          <w:tab w:val="left" w:pos="1483"/>
        </w:tabs>
      </w:pPr>
      <w:r>
        <w:t>16/33.</w:t>
      </w:r>
      <w:r>
        <w:tab/>
      </w:r>
      <w:r w:rsidR="004515B1">
        <w:tab/>
      </w:r>
      <w:r w:rsidRPr="00784F6A">
        <w:t>Mécanisme de financement</w:t>
      </w:r>
    </w:p>
    <w:p w14:paraId="3E093609" w14:textId="77777777" w:rsidR="009A506F" w:rsidRPr="00784F6A" w:rsidRDefault="009A506F" w:rsidP="00656D3B">
      <w:pPr>
        <w:pStyle w:val="CBDDesicionText"/>
        <w:tabs>
          <w:tab w:val="left" w:pos="4253"/>
        </w:tabs>
        <w:ind w:firstLine="567"/>
      </w:pPr>
      <w:r w:rsidRPr="00784F6A">
        <w:rPr>
          <w:i/>
          <w:iCs/>
        </w:rPr>
        <w:t>La Conférence des Parties,</w:t>
      </w:r>
      <w:r w:rsidR="00BD486B" w:rsidRPr="00784F6A">
        <w:rPr>
          <w:i/>
          <w:iCs/>
        </w:rPr>
        <w:t xml:space="preserve"> </w:t>
      </w:r>
      <w:r w:rsidR="00656D3B" w:rsidRPr="00784F6A">
        <w:rPr>
          <w:i/>
          <w:iCs/>
        </w:rPr>
        <w:tab/>
      </w:r>
    </w:p>
    <w:p w14:paraId="026AC127" w14:textId="1CEDA778" w:rsidR="009A506F" w:rsidRPr="00784F6A" w:rsidRDefault="009A506F" w:rsidP="00875C09">
      <w:pPr>
        <w:pStyle w:val="CBDDesicionText"/>
        <w:ind w:firstLine="567"/>
        <w:rPr>
          <w:iCs/>
        </w:rPr>
      </w:pPr>
      <w:r w:rsidRPr="00784F6A">
        <w:rPr>
          <w:i/>
        </w:rPr>
        <w:t>Réaffirmant</w:t>
      </w:r>
      <w:r w:rsidRPr="00784F6A">
        <w:t xml:space="preserve"> l</w:t>
      </w:r>
      <w:r w:rsidR="0059442D">
        <w:t>’</w:t>
      </w:r>
      <w:r w:rsidRPr="00784F6A">
        <w:t>importance de la pleine exécution des dispositions de l</w:t>
      </w:r>
      <w:r w:rsidR="0059442D">
        <w:t>’</w:t>
      </w:r>
      <w:r w:rsidRPr="00784F6A">
        <w:t>article</w:t>
      </w:r>
      <w:r w:rsidR="006742A9" w:rsidRPr="00784F6A">
        <w:t> </w:t>
      </w:r>
      <w:hyperlink r:id="rId14" w:history="1">
        <w:r w:rsidRPr="00122C4A">
          <w:rPr>
            <w:rStyle w:val="Lienhypertexte"/>
          </w:rPr>
          <w:t>20</w:t>
        </w:r>
      </w:hyperlink>
      <w:r w:rsidRPr="00784F6A">
        <w:t>, en particulier les paragraphes</w:t>
      </w:r>
      <w:r w:rsidR="006742A9" w:rsidRPr="00784F6A">
        <w:t> </w:t>
      </w:r>
      <w:r w:rsidRPr="00784F6A">
        <w:t>2 et 3, et de l</w:t>
      </w:r>
      <w:r w:rsidR="0059442D">
        <w:t>’</w:t>
      </w:r>
      <w:r w:rsidRPr="00784F6A">
        <w:t>article</w:t>
      </w:r>
      <w:r w:rsidR="006742A9" w:rsidRPr="00784F6A">
        <w:t> </w:t>
      </w:r>
      <w:hyperlink r:id="rId15" w:history="1">
        <w:r w:rsidRPr="00122C4A">
          <w:rPr>
            <w:rStyle w:val="Lienhypertexte"/>
          </w:rPr>
          <w:t>21</w:t>
        </w:r>
      </w:hyperlink>
      <w:r w:rsidRPr="00784F6A">
        <w:t xml:space="preserve">, </w:t>
      </w:r>
      <w:r w:rsidR="007553E5" w:rsidRPr="00784F6A">
        <w:t>notamment</w:t>
      </w:r>
      <w:r w:rsidRPr="00784F6A">
        <w:t xml:space="preserve"> les paragraphes</w:t>
      </w:r>
      <w:r w:rsidR="006742A9" w:rsidRPr="00784F6A">
        <w:t> </w:t>
      </w:r>
      <w:r w:rsidRPr="00784F6A">
        <w:t>1 et 3, de la Convention sur la diversité biologique</w:t>
      </w:r>
      <w:r w:rsidRPr="00784F6A">
        <w:rPr>
          <w:rStyle w:val="Appelnotedebasdep"/>
        </w:rPr>
        <w:footnoteReference w:id="2"/>
      </w:r>
      <w:r w:rsidRPr="00784F6A">
        <w:t xml:space="preserve"> </w:t>
      </w:r>
      <w:r w:rsidR="007553E5" w:rsidRPr="00784F6A">
        <w:t>ainsi que</w:t>
      </w:r>
      <w:r w:rsidRPr="00784F6A">
        <w:t xml:space="preserve"> de l</w:t>
      </w:r>
      <w:r w:rsidR="0059442D">
        <w:t>’</w:t>
      </w:r>
      <w:r w:rsidRPr="00784F6A">
        <w:t xml:space="preserve">accès au mécanisme de financement </w:t>
      </w:r>
      <w:r w:rsidR="007553E5" w:rsidRPr="00784F6A">
        <w:t>par</w:t>
      </w:r>
      <w:r w:rsidRPr="00784F6A">
        <w:t xml:space="preserve"> toutes les Parties </w:t>
      </w:r>
      <w:r w:rsidR="007553E5" w:rsidRPr="00784F6A">
        <w:t>en vue</w:t>
      </w:r>
      <w:r w:rsidRPr="00784F6A">
        <w:t xml:space="preserve"> de mettre pleinement en </w:t>
      </w:r>
      <w:r w:rsidR="006742A9" w:rsidRPr="00784F6A">
        <w:t>œuvre</w:t>
      </w:r>
      <w:r w:rsidRPr="00784F6A">
        <w:t xml:space="preserve"> la Convention,</w:t>
      </w:r>
    </w:p>
    <w:p w14:paraId="5480AC64" w14:textId="77777777" w:rsidR="009A506F" w:rsidRPr="00784F6A" w:rsidRDefault="00BA18CA" w:rsidP="00875C09">
      <w:pPr>
        <w:pStyle w:val="CBDDesicionText"/>
        <w:ind w:firstLine="567"/>
        <w:rPr>
          <w:iCs/>
        </w:rPr>
      </w:pPr>
      <w:r w:rsidRPr="00784F6A">
        <w:rPr>
          <w:i/>
        </w:rPr>
        <w:t>Saluant</w:t>
      </w:r>
      <w:r w:rsidR="009A506F" w:rsidRPr="00784F6A">
        <w:rPr>
          <w:i/>
        </w:rPr>
        <w:t xml:space="preserve"> </w:t>
      </w:r>
      <w:r w:rsidR="009A506F" w:rsidRPr="00784F6A">
        <w:t>le rôle précieux du Fonds pour l</w:t>
      </w:r>
      <w:r w:rsidR="0059442D">
        <w:t>’</w:t>
      </w:r>
      <w:r w:rsidR="009A506F" w:rsidRPr="00784F6A">
        <w:t xml:space="preserve">environnement mondial </w:t>
      </w:r>
      <w:r w:rsidRPr="00784F6A">
        <w:t>en tant que</w:t>
      </w:r>
      <w:r w:rsidR="009A506F" w:rsidRPr="00784F6A">
        <w:t xml:space="preserve"> structure institutionnelle </w:t>
      </w:r>
      <w:r w:rsidR="007553E5" w:rsidRPr="00784F6A">
        <w:t xml:space="preserve">mettant en œuvre </w:t>
      </w:r>
      <w:r w:rsidR="009A506F" w:rsidRPr="00784F6A">
        <w:t xml:space="preserve">le mécanisme de financement de la Convention </w:t>
      </w:r>
      <w:r w:rsidRPr="00784F6A">
        <w:t>à titre provisoire</w:t>
      </w:r>
      <w:r w:rsidR="009A506F" w:rsidRPr="00784F6A">
        <w:t xml:space="preserve"> et </w:t>
      </w:r>
      <w:r w:rsidR="006B13D4" w:rsidRPr="00784F6A">
        <w:t>de manière</w:t>
      </w:r>
      <w:r w:rsidR="009A506F" w:rsidRPr="00784F6A">
        <w:t xml:space="preserve"> </w:t>
      </w:r>
      <w:r w:rsidR="006B13D4" w:rsidRPr="00784F6A">
        <w:t>continue</w:t>
      </w:r>
      <w:r w:rsidR="00202E35" w:rsidRPr="00784F6A">
        <w:t> </w:t>
      </w:r>
      <w:r w:rsidR="009A506F" w:rsidRPr="00784F6A">
        <w:t>;</w:t>
      </w:r>
    </w:p>
    <w:p w14:paraId="67624D26" w14:textId="77777777" w:rsidR="009A506F" w:rsidRPr="00784F6A" w:rsidRDefault="009A506F" w:rsidP="0091346D">
      <w:pPr>
        <w:pStyle w:val="CBDDesicionText"/>
        <w:ind w:firstLine="567"/>
      </w:pPr>
      <w:r w:rsidRPr="00784F6A">
        <w:rPr>
          <w:i/>
        </w:rPr>
        <w:t xml:space="preserve">Réaffirmant </w:t>
      </w:r>
      <w:r w:rsidRPr="00784F6A">
        <w:t>l</w:t>
      </w:r>
      <w:r w:rsidR="0059442D">
        <w:t>’</w:t>
      </w:r>
      <w:r w:rsidRPr="00784F6A">
        <w:t xml:space="preserve">engagement de la Conférence des Parties de mener à bien un examen </w:t>
      </w:r>
      <w:r w:rsidR="00BA18CA" w:rsidRPr="00784F6A">
        <w:t xml:space="preserve">périodique </w:t>
      </w:r>
      <w:r w:rsidRPr="00784F6A">
        <w:t>de l</w:t>
      </w:r>
      <w:r w:rsidR="0059442D">
        <w:t>’</w:t>
      </w:r>
      <w:r w:rsidRPr="00784F6A">
        <w:t xml:space="preserve">efficacité du mécanisme de financement, comme </w:t>
      </w:r>
      <w:r w:rsidR="00BA18CA" w:rsidRPr="00784F6A">
        <w:t>indiqué dans son</w:t>
      </w:r>
      <w:r w:rsidRPr="00784F6A">
        <w:t xml:space="preserve"> mémorandum d</w:t>
      </w:r>
      <w:r w:rsidR="0059442D">
        <w:t>’</w:t>
      </w:r>
      <w:r w:rsidR="00BA18CA" w:rsidRPr="00784F6A">
        <w:t>accord</w:t>
      </w:r>
      <w:r w:rsidRPr="00784F6A">
        <w:t xml:space="preserve"> avec le Conseil du Fonds pour l</w:t>
      </w:r>
      <w:r w:rsidR="0059442D">
        <w:t>’</w:t>
      </w:r>
      <w:r w:rsidRPr="00784F6A">
        <w:t>environnement mondial</w:t>
      </w:r>
      <w:r w:rsidRPr="00784F6A">
        <w:rPr>
          <w:rStyle w:val="Appelnotedebasdep"/>
        </w:rPr>
        <w:footnoteReference w:id="3"/>
      </w:r>
      <w:r w:rsidR="00BA18CA" w:rsidRPr="00784F6A">
        <w:t>,</w:t>
      </w:r>
    </w:p>
    <w:p w14:paraId="41368CF6" w14:textId="77777777" w:rsidR="009A506F" w:rsidRPr="00784F6A" w:rsidRDefault="009A506F" w:rsidP="00875C09">
      <w:pPr>
        <w:pStyle w:val="CBDDesicionText"/>
        <w:ind w:firstLine="567"/>
      </w:pPr>
      <w:r w:rsidRPr="00784F6A">
        <w:rPr>
          <w:i/>
        </w:rPr>
        <w:t>Réaffirmant</w:t>
      </w:r>
      <w:r w:rsidRPr="00784F6A">
        <w:t xml:space="preserve"> </w:t>
      </w:r>
      <w:r w:rsidRPr="00784F6A">
        <w:rPr>
          <w:i/>
          <w:iCs/>
        </w:rPr>
        <w:t xml:space="preserve">également </w:t>
      </w:r>
      <w:r w:rsidRPr="00784F6A">
        <w:t>l</w:t>
      </w:r>
      <w:r w:rsidR="0059442D">
        <w:t>’</w:t>
      </w:r>
      <w:r w:rsidRPr="00784F6A">
        <w:t>importance de l</w:t>
      </w:r>
      <w:r w:rsidR="0059442D">
        <w:t>’</w:t>
      </w:r>
      <w:r w:rsidRPr="00784F6A">
        <w:t>examen de l</w:t>
      </w:r>
      <w:r w:rsidR="0059442D">
        <w:t>’</w:t>
      </w:r>
      <w:r w:rsidRPr="00784F6A">
        <w:t>efficacité du mécanisme de financement dans le contexte de la mise en œuvre de la Convention et de ses Protocoles, stratégies et programmes,</w:t>
      </w:r>
    </w:p>
    <w:p w14:paraId="64CA9142" w14:textId="546312CE" w:rsidR="009A506F" w:rsidRPr="00784F6A" w:rsidRDefault="009A506F" w:rsidP="00875C09">
      <w:pPr>
        <w:pStyle w:val="CBDDesicionText"/>
        <w:ind w:firstLine="567"/>
      </w:pPr>
      <w:r w:rsidRPr="00784F6A">
        <w:rPr>
          <w:i/>
          <w:iCs/>
        </w:rPr>
        <w:t>Constatant avec préoccupation</w:t>
      </w:r>
      <w:r w:rsidRPr="00784F6A">
        <w:t xml:space="preserve"> l</w:t>
      </w:r>
      <w:r w:rsidR="0059442D">
        <w:t>’</w:t>
      </w:r>
      <w:r w:rsidRPr="00784F6A">
        <w:t xml:space="preserve">insuffisance des contributions financières volontaires pour financer la mise en œuvre du mandat </w:t>
      </w:r>
      <w:r w:rsidR="00CF3FA3">
        <w:t>en vue d’</w:t>
      </w:r>
      <w:r w:rsidRPr="00784F6A">
        <w:t>une évaluation complète du montant d</w:t>
      </w:r>
      <w:r w:rsidR="00CF3FA3">
        <w:t>u</w:t>
      </w:r>
      <w:r w:rsidRPr="00784F6A">
        <w:t xml:space="preserve"> financement nécessaire à la mise en œuvre de la Convention et de ses Protocoles pour la neuvième reconstitution </w:t>
      </w:r>
      <w:r w:rsidR="00CF3FA3">
        <w:t xml:space="preserve">des ressources </w:t>
      </w:r>
      <w:r w:rsidRPr="00784F6A">
        <w:t>de la Caisse du Fonds pour l</w:t>
      </w:r>
      <w:r w:rsidR="0059442D">
        <w:t>’</w:t>
      </w:r>
      <w:r w:rsidRPr="00784F6A">
        <w:t>environnement mondial</w:t>
      </w:r>
      <w:r w:rsidRPr="00784F6A">
        <w:rPr>
          <w:rStyle w:val="Appelnotedebasdep"/>
        </w:rPr>
        <w:footnoteReference w:id="4"/>
      </w:r>
      <w:r w:rsidR="00BA18CA" w:rsidRPr="00784F6A">
        <w:t>,</w:t>
      </w:r>
      <w:r w:rsidRPr="00784F6A">
        <w:t xml:space="preserve"> </w:t>
      </w:r>
      <w:r w:rsidR="006B13D4" w:rsidRPr="00784F6A">
        <w:t>se traduisant par un nombre limité d</w:t>
      </w:r>
      <w:r w:rsidR="0059442D">
        <w:t>’</w:t>
      </w:r>
      <w:r w:rsidR="006B13D4" w:rsidRPr="00784F6A">
        <w:t>activités soumises à l</w:t>
      </w:r>
      <w:r w:rsidR="0059442D">
        <w:t>’</w:t>
      </w:r>
      <w:r w:rsidR="006B13D4" w:rsidRPr="00784F6A">
        <w:t>examen de la Conférence des Parties à sa seizième réunion</w:t>
      </w:r>
      <w:r w:rsidRPr="00784F6A">
        <w:t>,</w:t>
      </w:r>
    </w:p>
    <w:p w14:paraId="4A336D4A" w14:textId="77777777" w:rsidR="009A506F" w:rsidRPr="00784F6A" w:rsidRDefault="009A506F" w:rsidP="00875C09">
      <w:pPr>
        <w:pStyle w:val="CBDDesicionText"/>
        <w:ind w:firstLine="567"/>
      </w:pPr>
      <w:r w:rsidRPr="00784F6A">
        <w:rPr>
          <w:i/>
          <w:iCs/>
        </w:rPr>
        <w:t xml:space="preserve">Reconnaissant </w:t>
      </w:r>
      <w:r w:rsidRPr="00784F6A">
        <w:t xml:space="preserve">la nature intégrée et indivisible des </w:t>
      </w:r>
      <w:r w:rsidR="007553E5" w:rsidRPr="00784F6A">
        <w:t>éléments</w:t>
      </w:r>
      <w:r w:rsidRPr="00784F6A">
        <w:t xml:space="preserve"> du </w:t>
      </w:r>
      <w:r w:rsidR="006B13D4" w:rsidRPr="00784F6A">
        <w:t>Cadre mondial de la biodiversité de Kunming-Montréal</w:t>
      </w:r>
      <w:r w:rsidR="007553E5" w:rsidRPr="00784F6A">
        <w:rPr>
          <w:rStyle w:val="Appelnotedebasdep"/>
        </w:rPr>
        <w:footnoteReference w:id="5"/>
      </w:r>
      <w:r w:rsidRPr="00784F6A">
        <w:t xml:space="preserve">, </w:t>
      </w:r>
      <w:r w:rsidR="007553E5" w:rsidRPr="00784F6A">
        <w:t>notamment</w:t>
      </w:r>
      <w:r w:rsidRPr="00784F6A">
        <w:t xml:space="preserve"> </w:t>
      </w:r>
      <w:r w:rsidR="007553E5" w:rsidRPr="00784F6A">
        <w:t>l</w:t>
      </w:r>
      <w:r w:rsidRPr="00784F6A">
        <w:t xml:space="preserve">es considérations </w:t>
      </w:r>
      <w:r w:rsidR="007553E5" w:rsidRPr="00784F6A">
        <w:t>relatives à</w:t>
      </w:r>
      <w:r w:rsidRPr="00784F6A">
        <w:t xml:space="preserve"> sa mise en </w:t>
      </w:r>
      <w:r w:rsidR="006742A9" w:rsidRPr="00784F6A">
        <w:t>œuvre</w:t>
      </w:r>
      <w:r w:rsidRPr="00784F6A">
        <w:t xml:space="preserve"> (section C du Cadre), </w:t>
      </w:r>
      <w:r w:rsidR="00C37C95" w:rsidRPr="00784F6A">
        <w:t>les mécanismes de mise en œuvre et d</w:t>
      </w:r>
      <w:r w:rsidR="0059442D">
        <w:t>’</w:t>
      </w:r>
      <w:r w:rsidR="00C37C95" w:rsidRPr="00784F6A">
        <w:t xml:space="preserve">appui et les conditions propices </w:t>
      </w:r>
      <w:r w:rsidRPr="00784F6A">
        <w:t>(section I), et la responsabilité et la transparence (section J),</w:t>
      </w:r>
    </w:p>
    <w:p w14:paraId="31F48155" w14:textId="4B0A3F84" w:rsidR="009A506F" w:rsidRPr="00784F6A" w:rsidRDefault="009A506F" w:rsidP="00875C09">
      <w:pPr>
        <w:pStyle w:val="CBDDesicionText"/>
        <w:ind w:firstLine="567"/>
        <w:rPr>
          <w:rFonts w:eastAsia="Times New Roman"/>
          <w:color w:val="000000"/>
          <w:szCs w:val="24"/>
        </w:rPr>
      </w:pPr>
      <w:r w:rsidRPr="00784F6A">
        <w:rPr>
          <w:i/>
          <w:iCs/>
        </w:rPr>
        <w:lastRenderedPageBreak/>
        <w:t xml:space="preserve">Constatant avec préoccupation </w:t>
      </w:r>
      <w:r w:rsidRPr="00784F6A">
        <w:t>qu</w:t>
      </w:r>
      <w:r w:rsidR="0059442D">
        <w:t>’</w:t>
      </w:r>
      <w:r w:rsidRPr="00784F6A">
        <w:t>au</w:t>
      </w:r>
      <w:r w:rsidR="007553E5" w:rsidRPr="00784F6A">
        <w:t xml:space="preserve"> cours de la huitième reconstitution des ressources </w:t>
      </w:r>
      <w:r w:rsidR="00184228" w:rsidRPr="00784F6A">
        <w:t>de la Caisse du</w:t>
      </w:r>
      <w:r w:rsidR="007553E5" w:rsidRPr="00784F6A">
        <w:t xml:space="preserve"> Fonds pour l</w:t>
      </w:r>
      <w:r w:rsidR="0059442D">
        <w:t>’</w:t>
      </w:r>
      <w:r w:rsidR="007553E5" w:rsidRPr="00784F6A">
        <w:t>environnement mondial, aucun</w:t>
      </w:r>
      <w:r w:rsidR="00F35B4E">
        <w:t>e</w:t>
      </w:r>
      <w:r w:rsidR="007553E5" w:rsidRPr="00784F6A">
        <w:t xml:space="preserve"> </w:t>
      </w:r>
      <w:r w:rsidR="00F35B4E">
        <w:t>Partie</w:t>
      </w:r>
      <w:r w:rsidR="007553E5" w:rsidRPr="00784F6A">
        <w:t xml:space="preserve"> admissible n</w:t>
      </w:r>
      <w:r w:rsidR="0059442D">
        <w:t>’</w:t>
      </w:r>
      <w:r w:rsidR="007553E5" w:rsidRPr="00784F6A">
        <w:t>a soumis de proposition de projet en vue d</w:t>
      </w:r>
      <w:r w:rsidR="0059442D">
        <w:t>’</w:t>
      </w:r>
      <w:r w:rsidR="007553E5" w:rsidRPr="00784F6A">
        <w:t>appuyer</w:t>
      </w:r>
      <w:r w:rsidRPr="00784F6A">
        <w:t xml:space="preserve"> la mise en œuvre du Protocole de Cartagena </w:t>
      </w:r>
      <w:bookmarkStart w:id="1" w:name="OLE_LINK2"/>
      <w:r w:rsidRPr="00784F6A">
        <w:t>sur la prévention des risques biotechnologiques</w:t>
      </w:r>
      <w:bookmarkEnd w:id="1"/>
      <w:r w:rsidRPr="00784F6A">
        <w:rPr>
          <w:rStyle w:val="Appelnotedebasdep"/>
        </w:rPr>
        <w:footnoteReference w:id="6"/>
      </w:r>
      <w:r w:rsidR="007553E5" w:rsidRPr="00784F6A">
        <w:t>,</w:t>
      </w:r>
      <w:r w:rsidRPr="00784F6A">
        <w:t xml:space="preserve"> et que seulement trois propositions de projets à l</w:t>
      </w:r>
      <w:r w:rsidR="0059442D">
        <w:t>’</w:t>
      </w:r>
      <w:r w:rsidRPr="00784F6A">
        <w:t>appui du Protocole de Nagoya sur l</w:t>
      </w:r>
      <w:r w:rsidR="0059442D">
        <w:t>’</w:t>
      </w:r>
      <w:r w:rsidRPr="00784F6A">
        <w:t>accès aux ressources génétiques et le partage juste et équitable des avantages découlant de leur utilisation</w:t>
      </w:r>
      <w:r w:rsidR="00176579" w:rsidRPr="00784F6A">
        <w:rPr>
          <w:rStyle w:val="Appelnotedebasdep"/>
        </w:rPr>
        <w:footnoteReference w:id="7"/>
      </w:r>
      <w:r w:rsidR="00176579" w:rsidRPr="00784F6A">
        <w:t xml:space="preserve"> </w:t>
      </w:r>
      <w:r w:rsidRPr="00784F6A">
        <w:t xml:space="preserve">ont été soumises par des </w:t>
      </w:r>
      <w:r w:rsidR="00F35B4E">
        <w:t>Parties</w:t>
      </w:r>
      <w:r w:rsidRPr="00784F6A">
        <w:t xml:space="preserve"> admissibles, et reconnaissant </w:t>
      </w:r>
      <w:r w:rsidR="00176579" w:rsidRPr="00784F6A">
        <w:t xml:space="preserve">en outre </w:t>
      </w:r>
      <w:r w:rsidRPr="00784F6A">
        <w:t>la nécessité d</w:t>
      </w:r>
      <w:r w:rsidR="0059442D">
        <w:t>’</w:t>
      </w:r>
      <w:r w:rsidRPr="00784F6A">
        <w:t>améliorer la compréhension des causes possibles de ce nombre</w:t>
      </w:r>
      <w:r w:rsidR="00176579" w:rsidRPr="00784F6A">
        <w:t xml:space="preserve"> </w:t>
      </w:r>
      <w:r w:rsidRPr="00784F6A">
        <w:t>restreint de propositions,</w:t>
      </w:r>
    </w:p>
    <w:p w14:paraId="0C125E5E" w14:textId="646F84B6" w:rsidR="00672449" w:rsidRPr="00784F6A" w:rsidRDefault="00672449" w:rsidP="0091346D">
      <w:pPr>
        <w:pStyle w:val="CBDDesicionText"/>
        <w:ind w:firstLine="567"/>
      </w:pPr>
      <w:r w:rsidRPr="00784F6A">
        <w:rPr>
          <w:i/>
          <w:iCs/>
        </w:rPr>
        <w:t>Accueillant favorablement</w:t>
      </w:r>
      <w:r w:rsidRPr="00784F6A">
        <w:t xml:space="preserve"> les mesures prises par le Fonds pour l</w:t>
      </w:r>
      <w:r w:rsidR="0059442D">
        <w:t>’</w:t>
      </w:r>
      <w:r w:rsidRPr="00784F6A">
        <w:t>environnement mondial par l</w:t>
      </w:r>
      <w:r w:rsidR="0059442D">
        <w:t>’</w:t>
      </w:r>
      <w:r w:rsidRPr="00784F6A">
        <w:t>entremise du financement de son domaine d</w:t>
      </w:r>
      <w:r w:rsidR="0059442D">
        <w:t>’</w:t>
      </w:r>
      <w:r w:rsidRPr="00784F6A">
        <w:t xml:space="preserve">intervention « biodiversité » visant à soutenir les </w:t>
      </w:r>
      <w:r w:rsidR="00F35B4E">
        <w:t>Parties</w:t>
      </w:r>
      <w:r w:rsidRPr="00784F6A">
        <w:t xml:space="preserve"> </w:t>
      </w:r>
      <w:r w:rsidR="00656D3B" w:rsidRPr="00784F6A">
        <w:t>admissibles</w:t>
      </w:r>
      <w:r w:rsidRPr="00784F6A">
        <w:t>, tout en soulignant la nécessité d</w:t>
      </w:r>
      <w:r w:rsidR="0059442D">
        <w:t>’</w:t>
      </w:r>
      <w:r w:rsidRPr="00784F6A">
        <w:t xml:space="preserve">accroître plus avant la mobilisation des ressources pour répondre aux défis et aux besoins des </w:t>
      </w:r>
      <w:r w:rsidR="00176579" w:rsidRPr="00784F6A">
        <w:t xml:space="preserve">Parties qui sont des </w:t>
      </w:r>
      <w:r w:rsidRPr="00784F6A">
        <w:t xml:space="preserve">pays en développement </w:t>
      </w:r>
      <w:r w:rsidR="00176579" w:rsidRPr="00784F6A">
        <w:t>concernant</w:t>
      </w:r>
      <w:r w:rsidRPr="00784F6A">
        <w:t xml:space="preserve"> leur contribution à la mise en </w:t>
      </w:r>
      <w:r w:rsidR="006742A9" w:rsidRPr="00784F6A">
        <w:t>œuvre</w:t>
      </w:r>
      <w:r w:rsidRPr="00784F6A">
        <w:t xml:space="preserve"> de la Convention, de ses Protocoles et du Cadre mondial de la biodiversité de Kunming-Montréal,</w:t>
      </w:r>
    </w:p>
    <w:p w14:paraId="37BAF060" w14:textId="77777777" w:rsidR="008C263B" w:rsidRPr="00784F6A" w:rsidRDefault="009A506F" w:rsidP="00875C09">
      <w:pPr>
        <w:pStyle w:val="CBDDesicionText"/>
        <w:ind w:firstLine="567"/>
      </w:pPr>
      <w:r w:rsidRPr="00784F6A">
        <w:rPr>
          <w:i/>
          <w:iCs/>
        </w:rPr>
        <w:t>Prenant note</w:t>
      </w:r>
      <w:r w:rsidRPr="00784F6A">
        <w:t xml:space="preserve"> qu</w:t>
      </w:r>
      <w:r w:rsidR="0059442D">
        <w:t>’</w:t>
      </w:r>
      <w:r w:rsidRPr="00784F6A">
        <w:t>un certain nombre de Parties admissibles n</w:t>
      </w:r>
      <w:r w:rsidR="0059442D">
        <w:t>’</w:t>
      </w:r>
      <w:r w:rsidRPr="00784F6A">
        <w:t xml:space="preserve">ont pas encore eu accès </w:t>
      </w:r>
      <w:r w:rsidR="00176579" w:rsidRPr="00784F6A">
        <w:t>au</w:t>
      </w:r>
      <w:r w:rsidRPr="00784F6A">
        <w:t xml:space="preserve"> soutien du Fonds pour l</w:t>
      </w:r>
      <w:r w:rsidR="0059442D">
        <w:t>’</w:t>
      </w:r>
      <w:r w:rsidRPr="00784F6A">
        <w:t>environnement mondial, en particulier pour la révision et l</w:t>
      </w:r>
      <w:r w:rsidR="0059442D">
        <w:t>’</w:t>
      </w:r>
      <w:r w:rsidRPr="00784F6A">
        <w:t>actualisation de leurs stratégies et plans d</w:t>
      </w:r>
      <w:r w:rsidR="0059442D">
        <w:t>’</w:t>
      </w:r>
      <w:r w:rsidRPr="00784F6A">
        <w:t xml:space="preserve">actions nationaux pour la biodiversité et </w:t>
      </w:r>
      <w:r w:rsidR="00176579" w:rsidRPr="00784F6A">
        <w:t xml:space="preserve">de </w:t>
      </w:r>
      <w:r w:rsidRPr="00784F6A">
        <w:t xml:space="preserve">leurs plans nationaux de financement de la biodiversité </w:t>
      </w:r>
      <w:r w:rsidR="00176579" w:rsidRPr="00784F6A">
        <w:t>en vue de les aligner sur le</w:t>
      </w:r>
      <w:r w:rsidRPr="00784F6A">
        <w:t xml:space="preserve"> Cadre,</w:t>
      </w:r>
    </w:p>
    <w:p w14:paraId="19A45D82" w14:textId="179C3AF4" w:rsidR="009A506F" w:rsidRPr="00784F6A" w:rsidRDefault="009A506F" w:rsidP="00875C09">
      <w:pPr>
        <w:pStyle w:val="CBDDesicionText"/>
        <w:ind w:firstLine="567"/>
      </w:pPr>
      <w:r w:rsidRPr="00784F6A">
        <w:rPr>
          <w:i/>
          <w:iCs/>
        </w:rPr>
        <w:t>Prenant note</w:t>
      </w:r>
      <w:r w:rsidRPr="00784F6A">
        <w:t xml:space="preserve"> </w:t>
      </w:r>
      <w:r w:rsidR="00176579" w:rsidRPr="00784F6A">
        <w:t xml:space="preserve">également </w:t>
      </w:r>
      <w:r w:rsidRPr="00784F6A">
        <w:t>des contributions des programmes intégrés du Fonds pour l</w:t>
      </w:r>
      <w:r w:rsidR="0059442D">
        <w:t>’</w:t>
      </w:r>
      <w:r w:rsidRPr="00784F6A">
        <w:t xml:space="preserve">environnement mondial </w:t>
      </w:r>
      <w:r w:rsidR="00176579" w:rsidRPr="00784F6A">
        <w:t>à la réalisation</w:t>
      </w:r>
      <w:r w:rsidRPr="00784F6A">
        <w:t xml:space="preserve"> des cibles du Cadre, et </w:t>
      </w:r>
      <w:r w:rsidR="00CF3FA3">
        <w:t xml:space="preserve">du fait </w:t>
      </w:r>
      <w:r w:rsidRPr="00784F6A">
        <w:t xml:space="preserve">que </w:t>
      </w:r>
      <w:r w:rsidR="00D905EC" w:rsidRPr="00784F6A">
        <w:t>c</w:t>
      </w:r>
      <w:r w:rsidRPr="00784F6A">
        <w:t xml:space="preserve">es programmes contribuent </w:t>
      </w:r>
      <w:r w:rsidR="00CF3FA3" w:rsidRPr="00784F6A">
        <w:t xml:space="preserve">tous </w:t>
      </w:r>
      <w:r w:rsidRPr="00784F6A">
        <w:t xml:space="preserve">à </w:t>
      </w:r>
      <w:r w:rsidR="00D905EC" w:rsidRPr="00784F6A">
        <w:t>la réalisation</w:t>
      </w:r>
      <w:r w:rsidRPr="00784F6A">
        <w:t xml:space="preserve"> des cibles 8, 10, 11 </w:t>
      </w:r>
      <w:r w:rsidR="00D905EC" w:rsidRPr="00784F6A">
        <w:t xml:space="preserve">et </w:t>
      </w:r>
      <w:r w:rsidRPr="00784F6A">
        <w:t>20</w:t>
      </w:r>
      <w:r w:rsidR="00D905EC" w:rsidRPr="00784F6A">
        <w:t xml:space="preserve"> à </w:t>
      </w:r>
      <w:r w:rsidRPr="00784F6A">
        <w:t>23,</w:t>
      </w:r>
    </w:p>
    <w:p w14:paraId="51A3F468" w14:textId="06815753" w:rsidR="009A506F" w:rsidRPr="00784F6A" w:rsidRDefault="009A506F" w:rsidP="00875C09">
      <w:pPr>
        <w:pStyle w:val="CBDDesicionText"/>
        <w:ind w:firstLine="567"/>
      </w:pPr>
      <w:r w:rsidRPr="00784F6A">
        <w:rPr>
          <w:i/>
          <w:iCs/>
        </w:rPr>
        <w:t>Se félicitant</w:t>
      </w:r>
      <w:r w:rsidRPr="00784F6A">
        <w:t xml:space="preserve"> de la part considérable de ressources des autres domaines d</w:t>
      </w:r>
      <w:r w:rsidR="0059442D">
        <w:t>’</w:t>
      </w:r>
      <w:r w:rsidRPr="00784F6A">
        <w:t>intervention du Fonds pour l</w:t>
      </w:r>
      <w:r w:rsidR="0059442D">
        <w:t>’</w:t>
      </w:r>
      <w:r w:rsidRPr="00784F6A">
        <w:t>environnement mondial qui contribue</w:t>
      </w:r>
      <w:r w:rsidR="00CF3FA3">
        <w:t>nt</w:t>
      </w:r>
      <w:r w:rsidRPr="00784F6A">
        <w:t xml:space="preserve"> à la mise en œuvre du Cadre,</w:t>
      </w:r>
    </w:p>
    <w:p w14:paraId="19E40BC1" w14:textId="032C980A" w:rsidR="009A506F" w:rsidRPr="00784F6A" w:rsidRDefault="009A506F" w:rsidP="00875C09">
      <w:pPr>
        <w:pStyle w:val="CBDDesicionText"/>
        <w:ind w:firstLine="567"/>
      </w:pPr>
      <w:r w:rsidRPr="00784F6A">
        <w:rPr>
          <w:i/>
          <w:iCs/>
        </w:rPr>
        <w:t xml:space="preserve">Se félicitant également </w:t>
      </w:r>
      <w:r w:rsidRPr="00784F6A">
        <w:t xml:space="preserve">des </w:t>
      </w:r>
      <w:r w:rsidR="00CF3FA3">
        <w:t>mesures prises</w:t>
      </w:r>
      <w:r w:rsidRPr="00784F6A">
        <w:t xml:space="preserve"> </w:t>
      </w:r>
      <w:r w:rsidR="00CF3FA3">
        <w:t>par le</w:t>
      </w:r>
      <w:r w:rsidRPr="00784F6A">
        <w:t xml:space="preserve"> Fonds pour l</w:t>
      </w:r>
      <w:r w:rsidR="0059442D">
        <w:t>’</w:t>
      </w:r>
      <w:r w:rsidRPr="00784F6A">
        <w:t xml:space="preserve">environnement mondial </w:t>
      </w:r>
      <w:r w:rsidR="00CF3FA3">
        <w:t>pour</w:t>
      </w:r>
      <w:r w:rsidRPr="00784F6A">
        <w:t xml:space="preserve"> tirer parti des synergies entre les autres conventions relatives à la biodiversité, et relever plusieurs défis environnementaux de manière globale,</w:t>
      </w:r>
    </w:p>
    <w:p w14:paraId="5CA3BA03" w14:textId="77777777" w:rsidR="009A506F" w:rsidRPr="00784F6A" w:rsidRDefault="009A506F" w:rsidP="006E2731">
      <w:pPr>
        <w:pStyle w:val="CBDDesicionText"/>
        <w:ind w:firstLine="567"/>
      </w:pPr>
      <w:r w:rsidRPr="00784F6A">
        <w:rPr>
          <w:rFonts w:asciiTheme="majorBidi" w:hAnsiTheme="majorBidi"/>
          <w:i/>
          <w:iCs/>
        </w:rPr>
        <w:t>Soulignant</w:t>
      </w:r>
      <w:r w:rsidRPr="00784F6A">
        <w:rPr>
          <w:rFonts w:asciiTheme="majorBidi" w:hAnsiTheme="majorBidi"/>
        </w:rPr>
        <w:t xml:space="preserve"> la contribution des </w:t>
      </w:r>
      <w:r w:rsidR="00D905EC" w:rsidRPr="00784F6A">
        <w:rPr>
          <w:rFonts w:asciiTheme="majorBidi" w:hAnsiTheme="majorBidi"/>
        </w:rPr>
        <w:t xml:space="preserve">peuples autochtones et communautés locales </w:t>
      </w:r>
      <w:r w:rsidRPr="00784F6A">
        <w:rPr>
          <w:rFonts w:asciiTheme="majorBidi" w:hAnsiTheme="majorBidi"/>
        </w:rPr>
        <w:t xml:space="preserve">à la mise en œuvre de la </w:t>
      </w:r>
      <w:r w:rsidR="006A5637" w:rsidRPr="00784F6A">
        <w:rPr>
          <w:rFonts w:asciiTheme="majorBidi" w:hAnsiTheme="majorBidi"/>
        </w:rPr>
        <w:t>C</w:t>
      </w:r>
      <w:r w:rsidRPr="00784F6A">
        <w:rPr>
          <w:rFonts w:asciiTheme="majorBidi" w:hAnsiTheme="majorBidi"/>
        </w:rPr>
        <w:t>onvention et se félicitant du soutien que leur apporte actuellement le Fonds pour l</w:t>
      </w:r>
      <w:r w:rsidR="0059442D">
        <w:rPr>
          <w:rFonts w:asciiTheme="majorBidi" w:hAnsiTheme="majorBidi"/>
        </w:rPr>
        <w:t>’</w:t>
      </w:r>
      <w:r w:rsidRPr="00784F6A">
        <w:rPr>
          <w:rFonts w:asciiTheme="majorBidi" w:hAnsiTheme="majorBidi"/>
        </w:rPr>
        <w:t>environnement mondial,</w:t>
      </w:r>
    </w:p>
    <w:p w14:paraId="1023E933" w14:textId="47156339" w:rsidR="009A506F" w:rsidRPr="00784F6A" w:rsidRDefault="009A506F" w:rsidP="006E2731">
      <w:pPr>
        <w:pStyle w:val="CBDDesicionText"/>
        <w:ind w:firstLine="567"/>
      </w:pPr>
      <w:r w:rsidRPr="00784F6A">
        <w:rPr>
          <w:i/>
          <w:iCs/>
        </w:rPr>
        <w:t>Constatant avec satisfaction</w:t>
      </w:r>
      <w:r w:rsidRPr="00784F6A">
        <w:t xml:space="preserve"> le soutien accru </w:t>
      </w:r>
      <w:r w:rsidR="00D905EC" w:rsidRPr="00784F6A">
        <w:t xml:space="preserve">apporté par le </w:t>
      </w:r>
      <w:r w:rsidRPr="00784F6A">
        <w:t>Fonds pour l</w:t>
      </w:r>
      <w:r w:rsidR="0059442D">
        <w:t>’</w:t>
      </w:r>
      <w:r w:rsidRPr="00784F6A">
        <w:t xml:space="preserve">environnement mondial </w:t>
      </w:r>
      <w:r w:rsidR="00D905EC" w:rsidRPr="00784F6A">
        <w:t>aux</w:t>
      </w:r>
      <w:r w:rsidRPr="00784F6A">
        <w:t xml:space="preserve"> peuples </w:t>
      </w:r>
      <w:r w:rsidR="00D905EC" w:rsidRPr="00784F6A">
        <w:t>autochtones et communautés locales</w:t>
      </w:r>
      <w:r w:rsidRPr="00784F6A">
        <w:t xml:space="preserve"> à l</w:t>
      </w:r>
      <w:r w:rsidR="0059442D">
        <w:t>’</w:t>
      </w:r>
      <w:r w:rsidRPr="00784F6A">
        <w:t xml:space="preserve">appui de la mise en </w:t>
      </w:r>
      <w:r w:rsidR="006742A9" w:rsidRPr="00784F6A">
        <w:t>œuvre</w:t>
      </w:r>
      <w:r w:rsidRPr="00784F6A">
        <w:t xml:space="preserve"> du Cadre, </w:t>
      </w:r>
      <w:r w:rsidR="00D905EC" w:rsidRPr="00784F6A">
        <w:t xml:space="preserve">notamment grâce à la part ambitieuse de 20 % de la programmation au niveau du portefeuille devant </w:t>
      </w:r>
      <w:r w:rsidR="00CF3FA3">
        <w:t>servir</w:t>
      </w:r>
      <w:r w:rsidR="00D905EC" w:rsidRPr="00784F6A">
        <w:t xml:space="preserve"> d</w:t>
      </w:r>
      <w:r w:rsidR="0059442D">
        <w:t>’</w:t>
      </w:r>
      <w:r w:rsidR="00D905EC" w:rsidRPr="00784F6A">
        <w:t xml:space="preserve">ici à 2030 </w:t>
      </w:r>
      <w:r w:rsidR="00CF3FA3">
        <w:t>au fonctionnement du</w:t>
      </w:r>
      <w:r w:rsidR="00D905EC" w:rsidRPr="00784F6A">
        <w:t xml:space="preserve"> Fonds du Cadre mondial de la biodiversité</w:t>
      </w:r>
      <w:r w:rsidRPr="00784F6A">
        <w:t>,</w:t>
      </w:r>
    </w:p>
    <w:p w14:paraId="4CB5F06A" w14:textId="77777777" w:rsidR="00F8763E" w:rsidRPr="00784F6A" w:rsidRDefault="00626333" w:rsidP="0091346D">
      <w:pPr>
        <w:pStyle w:val="CBDDesicionText"/>
        <w:ind w:firstLine="567"/>
        <w:rPr>
          <w:rFonts w:asciiTheme="majorBidi" w:eastAsiaTheme="minorHAnsi" w:hAnsiTheme="majorBidi" w:cstheme="majorBidi"/>
        </w:rPr>
      </w:pPr>
      <w:r w:rsidRPr="00784F6A">
        <w:rPr>
          <w:rFonts w:asciiTheme="majorBidi" w:hAnsiTheme="majorBidi"/>
          <w:i/>
          <w:iCs/>
        </w:rPr>
        <w:t xml:space="preserve">Soulignant </w:t>
      </w:r>
      <w:r w:rsidRPr="00784F6A">
        <w:rPr>
          <w:rFonts w:asciiTheme="majorBidi" w:hAnsiTheme="majorBidi"/>
        </w:rPr>
        <w:t>les efforts continus visant à améliorer les orientations stratégiques fournies par la Conférence des Parties au Fonds pour l</w:t>
      </w:r>
      <w:r w:rsidR="0059442D">
        <w:rPr>
          <w:rFonts w:asciiTheme="majorBidi" w:hAnsiTheme="majorBidi"/>
        </w:rPr>
        <w:t>’</w:t>
      </w:r>
      <w:r w:rsidRPr="00784F6A">
        <w:rPr>
          <w:rFonts w:asciiTheme="majorBidi" w:hAnsiTheme="majorBidi"/>
        </w:rPr>
        <w:t>environnement mondial en tant que structure institutionnelle chargée d</w:t>
      </w:r>
      <w:r w:rsidR="0059442D">
        <w:rPr>
          <w:rFonts w:asciiTheme="majorBidi" w:hAnsiTheme="majorBidi"/>
        </w:rPr>
        <w:t>’</w:t>
      </w:r>
      <w:r w:rsidRPr="00784F6A">
        <w:rPr>
          <w:rFonts w:asciiTheme="majorBidi" w:hAnsiTheme="majorBidi"/>
        </w:rPr>
        <w:t xml:space="preserve">assurer le fonctionnement du mécanisme </w:t>
      </w:r>
      <w:r w:rsidR="002F29BF" w:rsidRPr="00784F6A">
        <w:rPr>
          <w:rFonts w:asciiTheme="majorBidi" w:hAnsiTheme="majorBidi"/>
        </w:rPr>
        <w:t>de financement</w:t>
      </w:r>
      <w:r w:rsidRPr="00784F6A">
        <w:rPr>
          <w:rFonts w:asciiTheme="majorBidi" w:hAnsiTheme="majorBidi"/>
        </w:rPr>
        <w:t xml:space="preserve"> de la Convention, à titre provisoire et de manière continue,</w:t>
      </w:r>
    </w:p>
    <w:p w14:paraId="7AD4F6C2" w14:textId="46E028B6" w:rsidR="009A506F" w:rsidRPr="00784F6A" w:rsidRDefault="009A506F" w:rsidP="006E2731">
      <w:pPr>
        <w:pStyle w:val="CBDDesicionText"/>
        <w:ind w:firstLine="567"/>
      </w:pPr>
      <w:r w:rsidRPr="00784F6A">
        <w:rPr>
          <w:rFonts w:asciiTheme="majorBidi" w:hAnsiTheme="majorBidi"/>
          <w:i/>
          <w:iCs/>
        </w:rPr>
        <w:t xml:space="preserve">Reconnaissant </w:t>
      </w:r>
      <w:r w:rsidRPr="00784F6A">
        <w:rPr>
          <w:rFonts w:asciiTheme="majorBidi" w:hAnsiTheme="majorBidi"/>
        </w:rPr>
        <w:t>que les ressources du Fonds pour l</w:t>
      </w:r>
      <w:r w:rsidR="0059442D">
        <w:rPr>
          <w:rFonts w:asciiTheme="majorBidi" w:hAnsiTheme="majorBidi"/>
        </w:rPr>
        <w:t>’</w:t>
      </w:r>
      <w:r w:rsidRPr="00784F6A">
        <w:rPr>
          <w:rFonts w:asciiTheme="majorBidi" w:hAnsiTheme="majorBidi"/>
        </w:rPr>
        <w:t>environnement mondial sont fournies de manière prévisible par l</w:t>
      </w:r>
      <w:r w:rsidR="0059442D">
        <w:rPr>
          <w:rFonts w:asciiTheme="majorBidi" w:hAnsiTheme="majorBidi"/>
        </w:rPr>
        <w:t>’</w:t>
      </w:r>
      <w:r w:rsidRPr="00784F6A">
        <w:rPr>
          <w:rFonts w:asciiTheme="majorBidi" w:hAnsiTheme="majorBidi"/>
        </w:rPr>
        <w:t>intermédiaire de sa Caisse grâce à la mise en œuvre du système d</w:t>
      </w:r>
      <w:r w:rsidR="0059442D">
        <w:rPr>
          <w:rFonts w:asciiTheme="majorBidi" w:hAnsiTheme="majorBidi"/>
        </w:rPr>
        <w:t>’</w:t>
      </w:r>
      <w:r w:rsidRPr="00784F6A">
        <w:rPr>
          <w:rFonts w:asciiTheme="majorBidi" w:hAnsiTheme="majorBidi"/>
        </w:rPr>
        <w:t xml:space="preserve">allocation transparente des ressources, que des améliorations ont été apportées en ce qui concerne le versement en temps voulu des fonds aux </w:t>
      </w:r>
      <w:r w:rsidR="00F35B4E">
        <w:rPr>
          <w:rFonts w:asciiTheme="majorBidi" w:hAnsiTheme="majorBidi"/>
        </w:rPr>
        <w:t>Parties</w:t>
      </w:r>
      <w:r w:rsidRPr="00784F6A">
        <w:rPr>
          <w:rFonts w:asciiTheme="majorBidi" w:hAnsiTheme="majorBidi"/>
        </w:rPr>
        <w:t xml:space="preserve"> admissibles et que la rationalisation du cycle des projets du Fonds pour l</w:t>
      </w:r>
      <w:r w:rsidR="0059442D">
        <w:rPr>
          <w:rFonts w:asciiTheme="majorBidi" w:hAnsiTheme="majorBidi"/>
        </w:rPr>
        <w:t>’</w:t>
      </w:r>
      <w:r w:rsidRPr="00784F6A">
        <w:rPr>
          <w:rFonts w:asciiTheme="majorBidi" w:hAnsiTheme="majorBidi"/>
        </w:rPr>
        <w:t>environnement mondial est également susceptible d</w:t>
      </w:r>
      <w:r w:rsidR="0059442D">
        <w:rPr>
          <w:rFonts w:asciiTheme="majorBidi" w:hAnsiTheme="majorBidi"/>
        </w:rPr>
        <w:t>’</w:t>
      </w:r>
      <w:r w:rsidRPr="00784F6A">
        <w:rPr>
          <w:rFonts w:asciiTheme="majorBidi" w:hAnsiTheme="majorBidi"/>
        </w:rPr>
        <w:t>avoir une incidence positive sur le versement en temps voulu des fonds,</w:t>
      </w:r>
    </w:p>
    <w:p w14:paraId="570B7207" w14:textId="77777777" w:rsidR="009A506F" w:rsidRPr="00784F6A" w:rsidRDefault="009A506F" w:rsidP="006E2731">
      <w:pPr>
        <w:pStyle w:val="CBDDesicionText"/>
        <w:ind w:firstLine="567"/>
      </w:pPr>
      <w:r w:rsidRPr="00784F6A">
        <w:rPr>
          <w:i/>
          <w:iCs/>
        </w:rPr>
        <w:t>Se félicitant</w:t>
      </w:r>
      <w:r w:rsidRPr="00784F6A">
        <w:t xml:space="preserve"> des </w:t>
      </w:r>
      <w:r w:rsidR="00626333" w:rsidRPr="00784F6A">
        <w:t>mesures prises</w:t>
      </w:r>
      <w:r w:rsidRPr="00784F6A">
        <w:t xml:space="preserve"> </w:t>
      </w:r>
      <w:r w:rsidR="00626333" w:rsidRPr="00784F6A">
        <w:t>par le</w:t>
      </w:r>
      <w:r w:rsidRPr="00784F6A">
        <w:t xml:space="preserve"> Fonds pour l</w:t>
      </w:r>
      <w:r w:rsidR="0059442D">
        <w:t>’</w:t>
      </w:r>
      <w:r w:rsidRPr="00784F6A">
        <w:t xml:space="preserve">environnement mondial </w:t>
      </w:r>
      <w:r w:rsidR="00626333" w:rsidRPr="00784F6A">
        <w:t>pour</w:t>
      </w:r>
      <w:r w:rsidRPr="00784F6A">
        <w:t xml:space="preserve"> appuyer la cohérence des politiques et les mesures de rationalisation,</w:t>
      </w:r>
    </w:p>
    <w:p w14:paraId="6D2252A1" w14:textId="77777777" w:rsidR="009A506F" w:rsidRPr="00784F6A" w:rsidRDefault="009A506F" w:rsidP="006E2731">
      <w:pPr>
        <w:pStyle w:val="CBDDesicionText"/>
        <w:ind w:firstLine="567"/>
        <w:rPr>
          <w:rFonts w:asciiTheme="majorBidi" w:eastAsiaTheme="minorHAnsi" w:hAnsiTheme="majorBidi" w:cstheme="majorBidi"/>
        </w:rPr>
      </w:pPr>
      <w:r w:rsidRPr="00784F6A">
        <w:rPr>
          <w:rFonts w:asciiTheme="majorBidi" w:hAnsiTheme="majorBidi"/>
          <w:i/>
          <w:iCs/>
        </w:rPr>
        <w:lastRenderedPageBreak/>
        <w:t xml:space="preserve">Reconnaissant </w:t>
      </w:r>
      <w:r w:rsidRPr="00784F6A">
        <w:rPr>
          <w:rFonts w:asciiTheme="majorBidi" w:hAnsiTheme="majorBidi"/>
        </w:rPr>
        <w:t>l</w:t>
      </w:r>
      <w:r w:rsidR="0059442D">
        <w:rPr>
          <w:rFonts w:asciiTheme="majorBidi" w:hAnsiTheme="majorBidi"/>
        </w:rPr>
        <w:t>’</w:t>
      </w:r>
      <w:r w:rsidRPr="00784F6A">
        <w:rPr>
          <w:rFonts w:asciiTheme="majorBidi" w:hAnsiTheme="majorBidi"/>
        </w:rPr>
        <w:t>importance de renforcer la direction, l</w:t>
      </w:r>
      <w:r w:rsidR="0059442D">
        <w:rPr>
          <w:rFonts w:asciiTheme="majorBidi" w:hAnsiTheme="majorBidi"/>
        </w:rPr>
        <w:t>’</w:t>
      </w:r>
      <w:r w:rsidRPr="00784F6A">
        <w:rPr>
          <w:rFonts w:asciiTheme="majorBidi" w:hAnsiTheme="majorBidi"/>
        </w:rPr>
        <w:t>appropriation et la responsabilité des pays en ce qui concerne les activités soutenues par le Fonds pour l</w:t>
      </w:r>
      <w:r w:rsidR="0059442D">
        <w:rPr>
          <w:rFonts w:asciiTheme="majorBidi" w:hAnsiTheme="majorBidi"/>
        </w:rPr>
        <w:t>’</w:t>
      </w:r>
      <w:r w:rsidRPr="00784F6A">
        <w:rPr>
          <w:rFonts w:asciiTheme="majorBidi" w:hAnsiTheme="majorBidi"/>
        </w:rPr>
        <w:t>environnement mondial,</w:t>
      </w:r>
    </w:p>
    <w:p w14:paraId="58C8CD64" w14:textId="77777777" w:rsidR="008958BA" w:rsidRPr="00784F6A" w:rsidRDefault="009A506F" w:rsidP="006E2731">
      <w:pPr>
        <w:pStyle w:val="CBDDesicionText"/>
        <w:ind w:firstLine="567"/>
        <w:rPr>
          <w:rFonts w:asciiTheme="majorBidi" w:eastAsiaTheme="minorHAnsi" w:hAnsiTheme="majorBidi" w:cstheme="majorBidi"/>
        </w:rPr>
      </w:pPr>
      <w:r w:rsidRPr="00784F6A">
        <w:rPr>
          <w:rFonts w:asciiTheme="majorBidi" w:hAnsiTheme="majorBidi"/>
          <w:i/>
          <w:iCs/>
        </w:rPr>
        <w:t xml:space="preserve">Reconnaissant </w:t>
      </w:r>
      <w:r w:rsidR="00656D3B" w:rsidRPr="00784F6A">
        <w:rPr>
          <w:rFonts w:asciiTheme="majorBidi" w:hAnsiTheme="majorBidi"/>
          <w:i/>
          <w:iCs/>
        </w:rPr>
        <w:t>également</w:t>
      </w:r>
      <w:r w:rsidRPr="00784F6A">
        <w:rPr>
          <w:rFonts w:asciiTheme="majorBidi" w:hAnsiTheme="majorBidi"/>
          <w:i/>
          <w:iCs/>
        </w:rPr>
        <w:t xml:space="preserve"> </w:t>
      </w:r>
      <w:r w:rsidRPr="00784F6A">
        <w:rPr>
          <w:rFonts w:asciiTheme="majorBidi" w:hAnsiTheme="majorBidi"/>
        </w:rPr>
        <w:t>qu</w:t>
      </w:r>
      <w:r w:rsidR="0059442D">
        <w:rPr>
          <w:rFonts w:asciiTheme="majorBidi" w:hAnsiTheme="majorBidi"/>
        </w:rPr>
        <w:t>’</w:t>
      </w:r>
      <w:r w:rsidRPr="00784F6A">
        <w:rPr>
          <w:rFonts w:asciiTheme="majorBidi" w:hAnsiTheme="majorBidi"/>
        </w:rPr>
        <w:t>au fil des ans, le Fonds pour l</w:t>
      </w:r>
      <w:r w:rsidR="0059442D">
        <w:rPr>
          <w:rFonts w:asciiTheme="majorBidi" w:hAnsiTheme="majorBidi"/>
        </w:rPr>
        <w:t>’</w:t>
      </w:r>
      <w:r w:rsidRPr="00784F6A">
        <w:rPr>
          <w:rFonts w:asciiTheme="majorBidi" w:hAnsiTheme="majorBidi"/>
        </w:rPr>
        <w:t>environnement mondial a pris des mesures pour améliorer la qualité de ses rapports,</w:t>
      </w:r>
    </w:p>
    <w:p w14:paraId="2A7C6C8A" w14:textId="77777777" w:rsidR="00446C4E" w:rsidRPr="00784F6A" w:rsidRDefault="00626333" w:rsidP="006E2731">
      <w:pPr>
        <w:pStyle w:val="CBDDesicionText"/>
        <w:ind w:firstLine="567"/>
        <w:rPr>
          <w:szCs w:val="20"/>
        </w:rPr>
      </w:pPr>
      <w:r w:rsidRPr="00784F6A">
        <w:rPr>
          <w:i/>
          <w:iCs/>
        </w:rPr>
        <w:t xml:space="preserve">Reconnaissant </w:t>
      </w:r>
      <w:r w:rsidR="00656D3B" w:rsidRPr="00784F6A">
        <w:rPr>
          <w:i/>
          <w:iCs/>
        </w:rPr>
        <w:t xml:space="preserve">en outre </w:t>
      </w:r>
      <w:r w:rsidRPr="00784F6A">
        <w:t>l</w:t>
      </w:r>
      <w:r w:rsidR="0059442D">
        <w:t>’</w:t>
      </w:r>
      <w:r w:rsidRPr="00784F6A">
        <w:t>importance de vivre en harmonie avec la nature et de vivre sainement et en harmonie avec la Terre nourricière afin de garantir le bien-être des humains, une planète en bonne santé et la prospérité économique pour tous</w:t>
      </w:r>
      <w:r w:rsidR="00656D3B" w:rsidRPr="00784F6A">
        <w:t xml:space="preserve"> et en en tenant compte</w:t>
      </w:r>
      <w:r w:rsidR="00446C4E" w:rsidRPr="00784F6A">
        <w:t>,</w:t>
      </w:r>
    </w:p>
    <w:p w14:paraId="025CC39A" w14:textId="77777777" w:rsidR="002B3C88" w:rsidRPr="00784F6A" w:rsidRDefault="003C6901" w:rsidP="0091346D">
      <w:pPr>
        <w:pStyle w:val="CBDDesicionText"/>
        <w:ind w:firstLine="567"/>
        <w:rPr>
          <w:rFonts w:asciiTheme="majorBidi" w:hAnsiTheme="majorBidi" w:cstheme="majorBidi"/>
        </w:rPr>
      </w:pPr>
      <w:r w:rsidRPr="00784F6A">
        <w:t>1.</w:t>
      </w:r>
      <w:r w:rsidR="002B3C88" w:rsidRPr="00784F6A">
        <w:tab/>
      </w:r>
      <w:r w:rsidR="002B3C88" w:rsidRPr="00784F6A">
        <w:rPr>
          <w:i/>
          <w:iCs/>
        </w:rPr>
        <w:t xml:space="preserve">Accueille favorablement </w:t>
      </w:r>
      <w:r w:rsidR="002B3C88" w:rsidRPr="00784F6A">
        <w:t xml:space="preserve">le rapport du </w:t>
      </w:r>
      <w:r w:rsidR="00626333" w:rsidRPr="00784F6A">
        <w:t xml:space="preserve">Comité du </w:t>
      </w:r>
      <w:r w:rsidR="002B3C88" w:rsidRPr="00784F6A">
        <w:t>Fonds pour l</w:t>
      </w:r>
      <w:r w:rsidR="0059442D">
        <w:t>’</w:t>
      </w:r>
      <w:r w:rsidR="002B3C88" w:rsidRPr="00784F6A">
        <w:t xml:space="preserve">environnement mondial </w:t>
      </w:r>
      <w:r w:rsidR="00626333" w:rsidRPr="00784F6A">
        <w:t>à</w:t>
      </w:r>
      <w:r w:rsidR="002B3C88" w:rsidRPr="00784F6A">
        <w:t xml:space="preserve"> la seizièm</w:t>
      </w:r>
      <w:r w:rsidRPr="00784F6A">
        <w:t>e réunion de la Conférence des P</w:t>
      </w:r>
      <w:r w:rsidR="002B3C88" w:rsidRPr="00784F6A">
        <w:t>arties</w:t>
      </w:r>
      <w:r w:rsidR="002B3C88" w:rsidRPr="00784F6A">
        <w:rPr>
          <w:rStyle w:val="Appelnotedebasdep"/>
          <w:rFonts w:asciiTheme="majorBidi" w:hAnsiTheme="majorBidi" w:cstheme="majorBidi"/>
        </w:rPr>
        <w:footnoteReference w:id="8"/>
      </w:r>
      <w:r w:rsidR="002B3C88" w:rsidRPr="00784F6A">
        <w:t xml:space="preserve"> et prend </w:t>
      </w:r>
      <w:r w:rsidR="00626333" w:rsidRPr="00784F6A">
        <w:t>note</w:t>
      </w:r>
      <w:r w:rsidR="002B3C88" w:rsidRPr="00784F6A">
        <w:t xml:space="preserve"> du rapport sur le sixième examen de l</w:t>
      </w:r>
      <w:r w:rsidR="0059442D">
        <w:t>’</w:t>
      </w:r>
      <w:r w:rsidR="002B3C88" w:rsidRPr="00784F6A">
        <w:t>efficacité du mécanisme de financement</w:t>
      </w:r>
      <w:r w:rsidR="002B3C88" w:rsidRPr="00784F6A">
        <w:rPr>
          <w:rStyle w:val="Appelnotedebasdep"/>
          <w:rFonts w:asciiTheme="majorBidi" w:hAnsiTheme="majorBidi" w:cstheme="majorBidi"/>
        </w:rPr>
        <w:footnoteReference w:id="9"/>
      </w:r>
      <w:r w:rsidR="00202E35" w:rsidRPr="00784F6A">
        <w:t> </w:t>
      </w:r>
      <w:r w:rsidR="00626333" w:rsidRPr="00784F6A">
        <w:t>;</w:t>
      </w:r>
    </w:p>
    <w:p w14:paraId="3BC899C7" w14:textId="77777777" w:rsidR="009A506F" w:rsidRPr="00784F6A" w:rsidRDefault="004D6ED3" w:rsidP="004D6ED3">
      <w:pPr>
        <w:pStyle w:val="CBDH2"/>
        <w:ind w:firstLine="0"/>
      </w:pPr>
      <w:r w:rsidRPr="00784F6A">
        <w:t>I</w:t>
      </w:r>
      <w:r w:rsidRPr="00784F6A">
        <w:br/>
      </w:r>
      <w:r w:rsidR="009A506F" w:rsidRPr="00784F6A">
        <w:t>Caisse du Fonds pour l</w:t>
      </w:r>
      <w:r w:rsidR="0059442D">
        <w:t>’</w:t>
      </w:r>
      <w:r w:rsidR="009A506F" w:rsidRPr="00784F6A">
        <w:t>environnement mondial</w:t>
      </w:r>
    </w:p>
    <w:p w14:paraId="19C02EEE" w14:textId="1CEB0B38" w:rsidR="009A506F" w:rsidRPr="00784F6A" w:rsidRDefault="009A506F" w:rsidP="006E2731">
      <w:pPr>
        <w:pStyle w:val="CBDDesicionText"/>
        <w:ind w:firstLine="567"/>
      </w:pPr>
      <w:r w:rsidRPr="00784F6A">
        <w:t>2.</w:t>
      </w:r>
      <w:r w:rsidRPr="00784F6A">
        <w:tab/>
      </w:r>
      <w:r w:rsidRPr="00784F6A">
        <w:rPr>
          <w:i/>
          <w:iCs/>
        </w:rPr>
        <w:t>Prie</w:t>
      </w:r>
      <w:r w:rsidRPr="00784F6A">
        <w:t xml:space="preserve"> le Fonds pour l</w:t>
      </w:r>
      <w:r w:rsidR="0059442D">
        <w:t>’</w:t>
      </w:r>
      <w:r w:rsidRPr="00784F6A">
        <w:t>environnement mondial, en collaboration avec l</w:t>
      </w:r>
      <w:r w:rsidR="00626333" w:rsidRPr="00784F6A">
        <w:t>a</w:t>
      </w:r>
      <w:r w:rsidRPr="00784F6A">
        <w:t xml:space="preserve"> Secrétaire exécuti</w:t>
      </w:r>
      <w:r w:rsidR="00626333" w:rsidRPr="00784F6A">
        <w:t>ve</w:t>
      </w:r>
      <w:r w:rsidR="00F35B4E">
        <w:t xml:space="preserve"> de la Convention sur la diversité biologique</w:t>
      </w:r>
      <w:r w:rsidRPr="00784F6A">
        <w:t xml:space="preserve">, à encourager les </w:t>
      </w:r>
      <w:r w:rsidR="00F35B4E">
        <w:t>Parties</w:t>
      </w:r>
      <w:r w:rsidRPr="00784F6A">
        <w:t xml:space="preserve"> </w:t>
      </w:r>
      <w:r w:rsidR="00656D3B" w:rsidRPr="00784F6A">
        <w:t>admissibles</w:t>
      </w:r>
      <w:r w:rsidRPr="00784F6A">
        <w:t xml:space="preserve"> à présenter des propositions de projets à l</w:t>
      </w:r>
      <w:r w:rsidR="0059442D">
        <w:t>’</w:t>
      </w:r>
      <w:r w:rsidRPr="00784F6A">
        <w:t xml:space="preserve">appui de la mise en </w:t>
      </w:r>
      <w:r w:rsidR="006742A9" w:rsidRPr="00784F6A">
        <w:t>œuvre</w:t>
      </w:r>
      <w:r w:rsidRPr="00784F6A">
        <w:t xml:space="preserve"> de la cible</w:t>
      </w:r>
      <w:r w:rsidR="006742A9" w:rsidRPr="00784F6A">
        <w:t> </w:t>
      </w:r>
      <w:r w:rsidRPr="00784F6A">
        <w:t xml:space="preserve">17 du </w:t>
      </w:r>
      <w:r w:rsidR="00626333" w:rsidRPr="00784F6A">
        <w:t>Cadre mondial de la biodiversité de Kunming-Montréal ainsi que</w:t>
      </w:r>
      <w:r w:rsidRPr="00784F6A">
        <w:t xml:space="preserve"> du Plan </w:t>
      </w:r>
      <w:r w:rsidR="00626333" w:rsidRPr="00784F6A">
        <w:t>de mise en œuvre</w:t>
      </w:r>
      <w:r w:rsidRPr="00784F6A">
        <w:rPr>
          <w:rStyle w:val="Appelnotedebasdep"/>
        </w:rPr>
        <w:footnoteReference w:id="10"/>
      </w:r>
      <w:r w:rsidRPr="00784F6A">
        <w:t xml:space="preserve"> et </w:t>
      </w:r>
      <w:r w:rsidR="00626333" w:rsidRPr="00784F6A">
        <w:t xml:space="preserve">du </w:t>
      </w:r>
      <w:r w:rsidRPr="00784F6A">
        <w:t>Plan d</w:t>
      </w:r>
      <w:r w:rsidR="0059442D">
        <w:t>’</w:t>
      </w:r>
      <w:r w:rsidRPr="00784F6A">
        <w:t>action pour le renforcement des capacités</w:t>
      </w:r>
      <w:r w:rsidRPr="00784F6A">
        <w:rPr>
          <w:rStyle w:val="Appelnotedebasdep"/>
        </w:rPr>
        <w:footnoteReference w:id="11"/>
      </w:r>
      <w:r w:rsidRPr="00784F6A">
        <w:t xml:space="preserve"> du Protocole de Cartagena</w:t>
      </w:r>
      <w:r w:rsidR="006742A9" w:rsidRPr="00784F6A">
        <w:t> </w:t>
      </w:r>
      <w:r w:rsidR="00626333" w:rsidRPr="00784F6A">
        <w:t>sur la prévention des risques biotechnologiques</w:t>
      </w:r>
      <w:r w:rsidR="00202E35" w:rsidRPr="00784F6A">
        <w:t> </w:t>
      </w:r>
      <w:r w:rsidRPr="00784F6A">
        <w:t>;</w:t>
      </w:r>
    </w:p>
    <w:p w14:paraId="7CD51D73" w14:textId="24F9B2B6" w:rsidR="009A506F" w:rsidRPr="00784F6A" w:rsidRDefault="009A506F" w:rsidP="006E2731">
      <w:pPr>
        <w:pStyle w:val="CBDDesicionText"/>
        <w:ind w:firstLine="567"/>
      </w:pPr>
      <w:r w:rsidRPr="00784F6A">
        <w:t>3.</w:t>
      </w:r>
      <w:r w:rsidRPr="00784F6A">
        <w:tab/>
      </w:r>
      <w:r w:rsidRPr="00784F6A">
        <w:rPr>
          <w:i/>
          <w:iCs/>
        </w:rPr>
        <w:t>Invite</w:t>
      </w:r>
      <w:r w:rsidRPr="00784F6A">
        <w:t xml:space="preserve"> les Parties au Protocole de Cartagena concernées à accéder de manière </w:t>
      </w:r>
      <w:r w:rsidR="00CF3FA3">
        <w:t>anticipée</w:t>
      </w:r>
      <w:r w:rsidRPr="00784F6A">
        <w:t xml:space="preserve"> </w:t>
      </w:r>
      <w:r w:rsidR="00CF3FA3">
        <w:t>à</w:t>
      </w:r>
      <w:r w:rsidRPr="00784F6A">
        <w:t xml:space="preserve"> </w:t>
      </w:r>
      <w:r w:rsidR="00CF3FA3">
        <w:t>l’</w:t>
      </w:r>
      <w:r w:rsidRPr="00784F6A">
        <w:t>allocatio</w:t>
      </w:r>
      <w:r w:rsidR="00CF3FA3">
        <w:t>n</w:t>
      </w:r>
      <w:r w:rsidRPr="00784F6A">
        <w:t xml:space="preserve"> théorique disponible pour le Protocole </w:t>
      </w:r>
      <w:r w:rsidR="00CF3FA3">
        <w:t>prévue dans</w:t>
      </w:r>
      <w:r w:rsidRPr="00784F6A">
        <w:t xml:space="preserve"> </w:t>
      </w:r>
      <w:r w:rsidR="00CF3FA3">
        <w:t>l</w:t>
      </w:r>
      <w:r w:rsidRPr="00784F6A">
        <w:t xml:space="preserve">es orientations </w:t>
      </w:r>
      <w:r w:rsidR="006A5637" w:rsidRPr="00784F6A">
        <w:t>programmatiques</w:t>
      </w:r>
      <w:r w:rsidRPr="00784F6A">
        <w:t xml:space="preserve"> de la huitième reconstitution</w:t>
      </w:r>
      <w:r w:rsidR="00CF3FA3">
        <w:t xml:space="preserve"> </w:t>
      </w:r>
      <w:r w:rsidR="00CF3FA3" w:rsidRPr="00784F6A">
        <w:t>des ressources</w:t>
      </w:r>
      <w:r w:rsidR="00202E35" w:rsidRPr="00784F6A">
        <w:t> </w:t>
      </w:r>
      <w:r w:rsidRPr="00784F6A">
        <w:t>;</w:t>
      </w:r>
    </w:p>
    <w:p w14:paraId="16D7BF70" w14:textId="77777777" w:rsidR="009A506F" w:rsidRPr="00784F6A" w:rsidRDefault="009A506F" w:rsidP="006E2731">
      <w:pPr>
        <w:pStyle w:val="CBDDesicionText"/>
        <w:ind w:firstLine="567"/>
      </w:pPr>
      <w:r w:rsidRPr="00784F6A">
        <w:t>4.</w:t>
      </w:r>
      <w:r w:rsidRPr="00784F6A">
        <w:tab/>
      </w:r>
      <w:r w:rsidRPr="00784F6A">
        <w:rPr>
          <w:i/>
          <w:iCs/>
        </w:rPr>
        <w:t>Prie</w:t>
      </w:r>
      <w:r w:rsidRPr="00784F6A">
        <w:t xml:space="preserve"> l</w:t>
      </w:r>
      <w:r w:rsidR="00E92A58" w:rsidRPr="00784F6A">
        <w:t>a</w:t>
      </w:r>
      <w:r w:rsidRPr="00784F6A">
        <w:t xml:space="preserve"> Secrétaire exécuti</w:t>
      </w:r>
      <w:r w:rsidR="00E92A58" w:rsidRPr="00784F6A">
        <w:t>ve</w:t>
      </w:r>
      <w:r w:rsidRPr="00784F6A">
        <w:t xml:space="preserve"> </w:t>
      </w:r>
      <w:r w:rsidR="00E92A58" w:rsidRPr="00784F6A">
        <w:t>et le</w:t>
      </w:r>
      <w:r w:rsidRPr="00784F6A">
        <w:t xml:space="preserve"> Fonds pour l</w:t>
      </w:r>
      <w:r w:rsidR="0059442D">
        <w:t>’</w:t>
      </w:r>
      <w:r w:rsidRPr="00784F6A">
        <w:t>environnement mondial de promouvoir le partage des expériences et des connaissances en matière d</w:t>
      </w:r>
      <w:r w:rsidR="0059442D">
        <w:t>’</w:t>
      </w:r>
      <w:r w:rsidRPr="00784F6A">
        <w:t>élaboration et de réalisation de projets à l</w:t>
      </w:r>
      <w:r w:rsidR="0059442D">
        <w:t>’</w:t>
      </w:r>
      <w:r w:rsidRPr="00784F6A">
        <w:t>appui de la mise en œuvre de la cible 13 du Cadre</w:t>
      </w:r>
      <w:r w:rsidR="00202E35" w:rsidRPr="00784F6A">
        <w:t> </w:t>
      </w:r>
      <w:r w:rsidRPr="00784F6A">
        <w:t>;</w:t>
      </w:r>
    </w:p>
    <w:p w14:paraId="6DD7EC7F" w14:textId="78B71819" w:rsidR="009A506F" w:rsidRPr="00784F6A" w:rsidRDefault="009A506F" w:rsidP="006E2731">
      <w:pPr>
        <w:pStyle w:val="CBDDesicionText"/>
        <w:ind w:firstLine="567"/>
      </w:pPr>
      <w:r w:rsidRPr="00784F6A">
        <w:t>5.</w:t>
      </w:r>
      <w:r w:rsidRPr="00784F6A">
        <w:tab/>
      </w:r>
      <w:r w:rsidR="00DE4EB7" w:rsidRPr="00784F6A">
        <w:t>Invite les Parties au Protocole de Nagoya sur l</w:t>
      </w:r>
      <w:r w:rsidR="0059442D">
        <w:t>’</w:t>
      </w:r>
      <w:r w:rsidR="00DE4EB7" w:rsidRPr="00784F6A">
        <w:t>accès aux ressources génétiques et le partage juste et équitable des avantages découlant de leur utilisation concernées à accéder de manière anticipée à l</w:t>
      </w:r>
      <w:r w:rsidR="0059442D">
        <w:t>’</w:t>
      </w:r>
      <w:r w:rsidR="00DE4EB7" w:rsidRPr="00784F6A">
        <w:t xml:space="preserve">allocation théorique disponible pour le Protocole </w:t>
      </w:r>
      <w:r w:rsidR="00CF3FA3">
        <w:t>prévue dans</w:t>
      </w:r>
      <w:r w:rsidR="00CF3FA3" w:rsidRPr="00784F6A">
        <w:t xml:space="preserve"> </w:t>
      </w:r>
      <w:r w:rsidR="00CF3FA3">
        <w:t xml:space="preserve">les </w:t>
      </w:r>
      <w:r w:rsidR="00DE4EB7" w:rsidRPr="00784F6A">
        <w:t>orientations programmatiques de la huitième reconstitution des ressources</w:t>
      </w:r>
      <w:r w:rsidR="00202E35" w:rsidRPr="00784F6A">
        <w:t> </w:t>
      </w:r>
      <w:r w:rsidRPr="00784F6A">
        <w:t>;</w:t>
      </w:r>
    </w:p>
    <w:p w14:paraId="0F98C8EA" w14:textId="6659E401" w:rsidR="009A506F" w:rsidRPr="00784F6A" w:rsidRDefault="003C6901" w:rsidP="006E2731">
      <w:pPr>
        <w:pStyle w:val="CBDDesicionText"/>
        <w:ind w:firstLine="567"/>
        <w:rPr>
          <w:rFonts w:eastAsia="Times New Roman"/>
          <w:color w:val="000000"/>
        </w:rPr>
      </w:pPr>
      <w:r w:rsidRPr="00784F6A">
        <w:rPr>
          <w:color w:val="000000"/>
        </w:rPr>
        <w:t>6.</w:t>
      </w:r>
      <w:r w:rsidR="009A506F" w:rsidRPr="00784F6A">
        <w:rPr>
          <w:color w:val="000000"/>
        </w:rPr>
        <w:t xml:space="preserve"> </w:t>
      </w:r>
      <w:r w:rsidR="009A506F" w:rsidRPr="00784F6A">
        <w:rPr>
          <w:color w:val="000000"/>
        </w:rPr>
        <w:tab/>
      </w:r>
      <w:r w:rsidR="00DE4EB7" w:rsidRPr="00784F6A">
        <w:rPr>
          <w:i/>
          <w:iCs/>
          <w:color w:val="000000"/>
        </w:rPr>
        <w:t xml:space="preserve">Demande </w:t>
      </w:r>
      <w:r w:rsidR="00DE4EB7" w:rsidRPr="00784F6A">
        <w:rPr>
          <w:color w:val="000000"/>
        </w:rPr>
        <w:t>au Fonds pour l</w:t>
      </w:r>
      <w:r w:rsidR="0059442D">
        <w:rPr>
          <w:color w:val="000000"/>
        </w:rPr>
        <w:t>’</w:t>
      </w:r>
      <w:r w:rsidR="00DE4EB7" w:rsidRPr="00784F6A">
        <w:rPr>
          <w:color w:val="000000"/>
        </w:rPr>
        <w:t xml:space="preserve">environnement mondial de déterminer, en collaboration avec les </w:t>
      </w:r>
      <w:r w:rsidR="00F35B4E">
        <w:rPr>
          <w:color w:val="000000"/>
        </w:rPr>
        <w:t>Parties</w:t>
      </w:r>
      <w:r w:rsidR="00DE4EB7" w:rsidRPr="00784F6A">
        <w:rPr>
          <w:color w:val="000000"/>
        </w:rPr>
        <w:t xml:space="preserve"> </w:t>
      </w:r>
      <w:r w:rsidR="00656D3B" w:rsidRPr="00784F6A">
        <w:rPr>
          <w:color w:val="000000"/>
        </w:rPr>
        <w:t>admissibles</w:t>
      </w:r>
      <w:r w:rsidR="00DE4EB7" w:rsidRPr="00784F6A">
        <w:rPr>
          <w:color w:val="000000"/>
        </w:rPr>
        <w:t>, les causes de la sous-utilisation de l</w:t>
      </w:r>
      <w:r w:rsidR="0059442D">
        <w:rPr>
          <w:color w:val="000000"/>
        </w:rPr>
        <w:t>’</w:t>
      </w:r>
      <w:r w:rsidR="00DE4EB7" w:rsidRPr="00784F6A">
        <w:rPr>
          <w:color w:val="000000"/>
        </w:rPr>
        <w:t>allocation théorique disponible pour les protocoles et de proposer des mesures adéquates pour remédier à ces causes afin que cette allocation soit davantage utilisée, et de faire figurer les informations y afférentes dans le prochain rapport que son Conseil présentera à la Conférence des Parties</w:t>
      </w:r>
      <w:r w:rsidR="00202E35" w:rsidRPr="00784F6A">
        <w:rPr>
          <w:color w:val="000000"/>
        </w:rPr>
        <w:t> </w:t>
      </w:r>
      <w:r w:rsidR="009A506F" w:rsidRPr="00784F6A">
        <w:rPr>
          <w:color w:val="000000"/>
        </w:rPr>
        <w:t>;</w:t>
      </w:r>
    </w:p>
    <w:p w14:paraId="73606763" w14:textId="1C3A3C24" w:rsidR="009A506F" w:rsidRPr="00784F6A" w:rsidRDefault="003C6901" w:rsidP="006E2731">
      <w:pPr>
        <w:pStyle w:val="CBDDesicionText"/>
        <w:ind w:firstLine="567"/>
      </w:pPr>
      <w:r w:rsidRPr="00784F6A">
        <w:t>7</w:t>
      </w:r>
      <w:r w:rsidR="009A506F" w:rsidRPr="00784F6A">
        <w:t>.</w:t>
      </w:r>
      <w:r w:rsidR="009A506F" w:rsidRPr="00784F6A">
        <w:tab/>
      </w:r>
      <w:r w:rsidR="009A506F" w:rsidRPr="00784F6A">
        <w:rPr>
          <w:i/>
          <w:iCs/>
        </w:rPr>
        <w:t>Encourage</w:t>
      </w:r>
      <w:r w:rsidR="009A506F" w:rsidRPr="00784F6A">
        <w:t xml:space="preserve"> le Fonds pour l</w:t>
      </w:r>
      <w:r w:rsidR="0059442D">
        <w:t>’</w:t>
      </w:r>
      <w:r w:rsidR="009A506F" w:rsidRPr="00784F6A">
        <w:t xml:space="preserve">environnement mondial à </w:t>
      </w:r>
      <w:r w:rsidR="00CF3FA3">
        <w:t>continuer d’explorer</w:t>
      </w:r>
      <w:r w:rsidR="009A506F" w:rsidRPr="00784F6A">
        <w:t xml:space="preserve"> d</w:t>
      </w:r>
      <w:r w:rsidR="0059442D">
        <w:t>’</w:t>
      </w:r>
      <w:r w:rsidR="009A506F" w:rsidRPr="00784F6A">
        <w:t xml:space="preserve">éventuelles </w:t>
      </w:r>
      <w:r w:rsidR="006742A9" w:rsidRPr="00784F6A">
        <w:t>possibilités</w:t>
      </w:r>
      <w:r w:rsidR="009A506F" w:rsidRPr="00784F6A">
        <w:t xml:space="preserve"> de maximiser la contribution de ses programmes intégrés à la mise en œuvre du Cadre de la biodiversité de Kunming-Montréal, </w:t>
      </w:r>
      <w:r w:rsidR="00DE4EB7" w:rsidRPr="00784F6A">
        <w:t>notamment en apportant un appui ciblé aux peuples autochtones et communautés locales, aux femmes et aux jeunes</w:t>
      </w:r>
      <w:r w:rsidR="00202E35" w:rsidRPr="00784F6A">
        <w:t> </w:t>
      </w:r>
      <w:r w:rsidR="009A506F" w:rsidRPr="00784F6A">
        <w:t>;</w:t>
      </w:r>
    </w:p>
    <w:p w14:paraId="546B2B83" w14:textId="1E81853C" w:rsidR="009A506F" w:rsidRPr="00784F6A" w:rsidRDefault="003C6901" w:rsidP="006E2731">
      <w:pPr>
        <w:pStyle w:val="CBDDesicionText"/>
        <w:ind w:firstLine="567"/>
      </w:pPr>
      <w:r w:rsidRPr="00784F6A">
        <w:t>8</w:t>
      </w:r>
      <w:r w:rsidR="009A506F" w:rsidRPr="00784F6A">
        <w:t>.</w:t>
      </w:r>
      <w:r w:rsidR="009A506F" w:rsidRPr="00784F6A">
        <w:tab/>
      </w:r>
      <w:r w:rsidR="009A506F" w:rsidRPr="00784F6A">
        <w:rPr>
          <w:i/>
          <w:iCs/>
        </w:rPr>
        <w:t>Encourage</w:t>
      </w:r>
      <w:r w:rsidR="009A506F" w:rsidRPr="00784F6A">
        <w:t xml:space="preserve"> le Fonds pour l</w:t>
      </w:r>
      <w:r w:rsidR="0059442D">
        <w:t>’</w:t>
      </w:r>
      <w:r w:rsidR="009A506F" w:rsidRPr="00784F6A">
        <w:t xml:space="preserve">environnement mondial et les </w:t>
      </w:r>
      <w:r w:rsidR="00F35B4E">
        <w:t>Parties</w:t>
      </w:r>
      <w:r w:rsidR="009A506F" w:rsidRPr="00784F6A">
        <w:t xml:space="preserve"> </w:t>
      </w:r>
      <w:r w:rsidR="00656D3B" w:rsidRPr="00784F6A">
        <w:t>admissibles</w:t>
      </w:r>
      <w:r w:rsidR="009A506F" w:rsidRPr="00784F6A">
        <w:t xml:space="preserve"> </w:t>
      </w:r>
      <w:r w:rsidR="00DE4EB7" w:rsidRPr="00784F6A">
        <w:t>à</w:t>
      </w:r>
      <w:r w:rsidR="009A506F" w:rsidRPr="00784F6A">
        <w:t xml:space="preserve"> maintenir la contribution du domaine d</w:t>
      </w:r>
      <w:r w:rsidR="0059442D">
        <w:t>’</w:t>
      </w:r>
      <w:r w:rsidR="009A506F" w:rsidRPr="00784F6A">
        <w:t>intervention «</w:t>
      </w:r>
      <w:r w:rsidR="006742A9" w:rsidRPr="00784F6A">
        <w:t> </w:t>
      </w:r>
      <w:r w:rsidR="009A506F" w:rsidRPr="00784F6A">
        <w:t>eaux internationales</w:t>
      </w:r>
      <w:r w:rsidR="006742A9" w:rsidRPr="00784F6A">
        <w:t> </w:t>
      </w:r>
      <w:r w:rsidR="009A506F" w:rsidRPr="00784F6A">
        <w:t>» à la mise en œuvre du Cadre et à étendre cette pratique à d</w:t>
      </w:r>
      <w:r w:rsidR="0059442D">
        <w:t>’</w:t>
      </w:r>
      <w:r w:rsidR="009A506F" w:rsidRPr="00784F6A">
        <w:t>autres domaines d</w:t>
      </w:r>
      <w:r w:rsidR="0059442D">
        <w:t>’</w:t>
      </w:r>
      <w:r w:rsidR="009A506F" w:rsidRPr="00784F6A">
        <w:t>intervention, notamment les changements climatiques, la dégradation des terres, les produits chimiques et les déchets, en tenant compte des circonstances et priorités nationales</w:t>
      </w:r>
      <w:r w:rsidR="00202E35" w:rsidRPr="00784F6A">
        <w:t> </w:t>
      </w:r>
      <w:r w:rsidR="009A506F" w:rsidRPr="00784F6A">
        <w:t>;</w:t>
      </w:r>
    </w:p>
    <w:p w14:paraId="2E7125AB" w14:textId="0B0B4AC0" w:rsidR="006852C7" w:rsidRPr="00784F6A" w:rsidRDefault="003C6901" w:rsidP="006E2731">
      <w:pPr>
        <w:pStyle w:val="CBDDesicionText"/>
        <w:ind w:firstLine="567"/>
      </w:pPr>
      <w:r w:rsidRPr="00784F6A">
        <w:lastRenderedPageBreak/>
        <w:t>9</w:t>
      </w:r>
      <w:r w:rsidR="009A506F" w:rsidRPr="00784F6A">
        <w:t>.</w:t>
      </w:r>
      <w:r w:rsidR="009A506F" w:rsidRPr="00784F6A">
        <w:tab/>
      </w:r>
      <w:r w:rsidR="009A506F" w:rsidRPr="00784F6A">
        <w:rPr>
          <w:i/>
          <w:iCs/>
        </w:rPr>
        <w:t>Invite</w:t>
      </w:r>
      <w:r w:rsidR="009A506F" w:rsidRPr="00784F6A">
        <w:t xml:space="preserve"> les pays développés Parties</w:t>
      </w:r>
      <w:r w:rsidR="00DE4EB7" w:rsidRPr="00784F6A">
        <w:t xml:space="preserve">, </w:t>
      </w:r>
      <w:r w:rsidR="009A506F" w:rsidRPr="00784F6A">
        <w:t xml:space="preserve">les autres Parties qui assument volontairement les obligations des pays développés Parties, ainsi que les autres gouvernements, à participer à la neuvième </w:t>
      </w:r>
      <w:r w:rsidR="00CF3FA3">
        <w:t>reconstitution des ressources de la Caisse</w:t>
      </w:r>
      <w:r w:rsidR="009A506F" w:rsidRPr="00784F6A">
        <w:t xml:space="preserve"> du Fonds pour l</w:t>
      </w:r>
      <w:r w:rsidR="0059442D">
        <w:t>’</w:t>
      </w:r>
      <w:r w:rsidR="009A506F" w:rsidRPr="00784F6A">
        <w:t xml:space="preserve">environnement mondial afin de soutenir les pays en développement </w:t>
      </w:r>
      <w:r w:rsidR="00DE4EB7" w:rsidRPr="00784F6A">
        <w:t xml:space="preserve">Parties </w:t>
      </w:r>
      <w:r w:rsidR="009A506F" w:rsidRPr="00784F6A">
        <w:t xml:space="preserve">admissibles, en particulier les pays les moins développés et les petits États insulaires en développement, ainsi que les </w:t>
      </w:r>
      <w:r w:rsidR="00DE4EB7" w:rsidRPr="00784F6A">
        <w:t>Parties dont l</w:t>
      </w:r>
      <w:r w:rsidR="0059442D">
        <w:t>’</w:t>
      </w:r>
      <w:r w:rsidR="009A506F" w:rsidRPr="00784F6A">
        <w:t xml:space="preserve">économie </w:t>
      </w:r>
      <w:r w:rsidR="00DE4EB7" w:rsidRPr="00784F6A">
        <w:t xml:space="preserve">est </w:t>
      </w:r>
      <w:r w:rsidR="009A506F" w:rsidRPr="00784F6A">
        <w:t>en transition</w:t>
      </w:r>
      <w:r w:rsidR="00202E35" w:rsidRPr="00784F6A">
        <w:t> </w:t>
      </w:r>
      <w:r w:rsidR="009A506F" w:rsidRPr="00784F6A">
        <w:t>;</w:t>
      </w:r>
    </w:p>
    <w:p w14:paraId="45BEEC3C" w14:textId="0247E72A" w:rsidR="00F77EBE" w:rsidRPr="00784F6A" w:rsidRDefault="003C6901" w:rsidP="00DE4EB7">
      <w:pPr>
        <w:pStyle w:val="CBDDesicionText"/>
        <w:ind w:firstLine="567"/>
      </w:pPr>
      <w:r w:rsidRPr="00784F6A">
        <w:t>10.</w:t>
      </w:r>
      <w:r w:rsidR="004F52E2" w:rsidRPr="00784F6A">
        <w:tab/>
      </w:r>
      <w:r w:rsidR="004F52E2" w:rsidRPr="00784F6A">
        <w:rPr>
          <w:i/>
          <w:iCs/>
        </w:rPr>
        <w:t xml:space="preserve">Prie </w:t>
      </w:r>
      <w:r w:rsidR="004F52E2" w:rsidRPr="00784F6A">
        <w:t>le Fonds pour l</w:t>
      </w:r>
      <w:r w:rsidR="0059442D">
        <w:t>’</w:t>
      </w:r>
      <w:r w:rsidR="004F52E2" w:rsidRPr="00784F6A">
        <w:t>environnement mondial et son Conseil d</w:t>
      </w:r>
      <w:r w:rsidR="0059442D">
        <w:t>’</w:t>
      </w:r>
      <w:r w:rsidR="004F52E2" w:rsidRPr="00784F6A">
        <w:t xml:space="preserve">examiner </w:t>
      </w:r>
      <w:r w:rsidR="00CF3FA3">
        <w:t>les moyens d’</w:t>
      </w:r>
      <w:r w:rsidR="004F52E2" w:rsidRPr="00784F6A">
        <w:t xml:space="preserve">intégrer les actions en faveur de la Terre nourricière dans </w:t>
      </w:r>
      <w:r w:rsidR="00854322" w:rsidRPr="00784F6A">
        <w:t>s</w:t>
      </w:r>
      <w:r w:rsidR="004F52E2" w:rsidRPr="00784F6A">
        <w:t xml:space="preserve">es orientations </w:t>
      </w:r>
      <w:r w:rsidR="00854322" w:rsidRPr="00784F6A">
        <w:t xml:space="preserve">programmatiques </w:t>
      </w:r>
      <w:r w:rsidR="004F52E2" w:rsidRPr="00784F6A">
        <w:t xml:space="preserve">et </w:t>
      </w:r>
      <w:r w:rsidR="00CF3FA3">
        <w:t>le</w:t>
      </w:r>
      <w:r w:rsidR="004F52E2" w:rsidRPr="00784F6A">
        <w:t xml:space="preserve"> Fonds du Cadre mondial </w:t>
      </w:r>
      <w:r w:rsidR="00854322" w:rsidRPr="00784F6A">
        <w:t>de</w:t>
      </w:r>
      <w:r w:rsidR="004F52E2" w:rsidRPr="00784F6A">
        <w:t xml:space="preserve"> la biodiversité</w:t>
      </w:r>
      <w:r w:rsidR="00202E35" w:rsidRPr="00784F6A">
        <w:t> </w:t>
      </w:r>
      <w:r w:rsidR="004F52E2" w:rsidRPr="00784F6A">
        <w:t>;</w:t>
      </w:r>
    </w:p>
    <w:p w14:paraId="48798ED7" w14:textId="33587DAE" w:rsidR="00031281" w:rsidRPr="00784F6A" w:rsidRDefault="003C6901" w:rsidP="006E2731">
      <w:pPr>
        <w:pStyle w:val="CBDDesicionText"/>
        <w:ind w:firstLine="567"/>
      </w:pPr>
      <w:r w:rsidRPr="00784F6A">
        <w:t>11.</w:t>
      </w:r>
      <w:r w:rsidR="00F77EBE" w:rsidRPr="00784F6A">
        <w:tab/>
      </w:r>
      <w:r w:rsidR="00F77EBE" w:rsidRPr="00784F6A">
        <w:rPr>
          <w:i/>
          <w:iCs/>
        </w:rPr>
        <w:t>Souligne</w:t>
      </w:r>
      <w:r w:rsidR="00F77EBE" w:rsidRPr="00784F6A">
        <w:t xml:space="preserve"> l</w:t>
      </w:r>
      <w:r w:rsidR="0059442D">
        <w:t>’</w:t>
      </w:r>
      <w:r w:rsidR="00F77EBE" w:rsidRPr="00784F6A">
        <w:t xml:space="preserve">importance de fournir un </w:t>
      </w:r>
      <w:r w:rsidR="00CF3FA3">
        <w:t>appui</w:t>
      </w:r>
      <w:r w:rsidR="00F77EBE" w:rsidRPr="00784F6A">
        <w:t xml:space="preserve"> adéquat et prévisible aux pays en développement </w:t>
      </w:r>
      <w:r w:rsidR="00F35B4E">
        <w:t xml:space="preserve">parties </w:t>
      </w:r>
      <w:r w:rsidR="00F77EBE" w:rsidRPr="00784F6A">
        <w:t>pour qu</w:t>
      </w:r>
      <w:r w:rsidR="0059442D">
        <w:t>’</w:t>
      </w:r>
      <w:r w:rsidR="00F77EBE" w:rsidRPr="00784F6A">
        <w:t xml:space="preserve">ils </w:t>
      </w:r>
      <w:r w:rsidR="00371A7F" w:rsidRPr="00784F6A">
        <w:t>élaborent</w:t>
      </w:r>
      <w:r w:rsidR="00F77EBE" w:rsidRPr="00784F6A">
        <w:t xml:space="preserve"> et actualisent leurs rapports nationaux, leurs stratégies et plans d</w:t>
      </w:r>
      <w:r w:rsidR="0059442D">
        <w:t>’</w:t>
      </w:r>
      <w:r w:rsidR="00F77EBE" w:rsidRPr="00784F6A">
        <w:t>action nationaux pour la biodiversité</w:t>
      </w:r>
      <w:r w:rsidR="00CF3FA3">
        <w:t xml:space="preserve"> ainsi que</w:t>
      </w:r>
      <w:r w:rsidR="00F77EBE" w:rsidRPr="00784F6A">
        <w:t xml:space="preserve"> leurs plans nationaux de financement de la biodiversité ou instruments similaires</w:t>
      </w:r>
      <w:r w:rsidR="00202E35" w:rsidRPr="00784F6A">
        <w:t> </w:t>
      </w:r>
      <w:r w:rsidR="00F77EBE" w:rsidRPr="00784F6A">
        <w:t>;</w:t>
      </w:r>
    </w:p>
    <w:p w14:paraId="7A69AE29" w14:textId="77777777" w:rsidR="009A506F" w:rsidRPr="00784F6A" w:rsidRDefault="00371A7F" w:rsidP="0091346D">
      <w:pPr>
        <w:pStyle w:val="CBDAnnex"/>
        <w:spacing w:before="240" w:after="120"/>
        <w:ind w:left="567"/>
        <w:rPr>
          <w:sz w:val="22"/>
        </w:rPr>
      </w:pPr>
      <w:r w:rsidRPr="00784F6A">
        <w:t>II</w:t>
      </w:r>
      <w:r w:rsidRPr="00784F6A">
        <w:br/>
        <w:t>Fonds du Cadre mondial de la biodiversité</w:t>
      </w:r>
      <w:r w:rsidRPr="00784F6A">
        <w:rPr>
          <w:sz w:val="22"/>
        </w:rPr>
        <w:t xml:space="preserve"> </w:t>
      </w:r>
    </w:p>
    <w:p w14:paraId="434B55DA" w14:textId="77777777" w:rsidR="009A506F" w:rsidRPr="00784F6A" w:rsidRDefault="00797AE1" w:rsidP="006E2731">
      <w:pPr>
        <w:pStyle w:val="CBDDesicionText"/>
        <w:ind w:firstLine="567"/>
      </w:pPr>
      <w:r w:rsidRPr="00784F6A">
        <w:t>12</w:t>
      </w:r>
      <w:r w:rsidR="009A506F" w:rsidRPr="00784F6A">
        <w:t>.</w:t>
      </w:r>
      <w:r w:rsidR="009A506F" w:rsidRPr="00784F6A">
        <w:tab/>
      </w:r>
      <w:r w:rsidR="009A506F" w:rsidRPr="00784F6A">
        <w:rPr>
          <w:i/>
          <w:iCs/>
        </w:rPr>
        <w:t>Exprime ses remerciements</w:t>
      </w:r>
      <w:r w:rsidR="009A506F" w:rsidRPr="00784F6A">
        <w:t xml:space="preserve"> au Fonds pour l</w:t>
      </w:r>
      <w:r w:rsidR="0059442D">
        <w:t>’</w:t>
      </w:r>
      <w:r w:rsidR="009A506F" w:rsidRPr="00784F6A">
        <w:t>environnement mondial pour l</w:t>
      </w:r>
      <w:r w:rsidR="0059442D">
        <w:t>’</w:t>
      </w:r>
      <w:r w:rsidR="009A506F" w:rsidRPr="00784F6A">
        <w:t>établissement et l</w:t>
      </w:r>
      <w:r w:rsidR="0059442D">
        <w:t>’</w:t>
      </w:r>
      <w:r w:rsidR="009A506F" w:rsidRPr="00784F6A">
        <w:t>opérationnalisation du Fonds du Cadre mondial de la biodiversité</w:t>
      </w:r>
      <w:r w:rsidR="00202E35" w:rsidRPr="00784F6A">
        <w:t> </w:t>
      </w:r>
      <w:r w:rsidR="009A506F" w:rsidRPr="00784F6A">
        <w:t>;</w:t>
      </w:r>
    </w:p>
    <w:p w14:paraId="3C2968E2" w14:textId="6DD0A639" w:rsidR="009B5A85" w:rsidRPr="00784F6A" w:rsidRDefault="00797AE1" w:rsidP="006E2731">
      <w:pPr>
        <w:pStyle w:val="CBDDesicionText"/>
        <w:ind w:firstLine="567"/>
      </w:pPr>
      <w:r w:rsidRPr="00784F6A">
        <w:t>13</w:t>
      </w:r>
      <w:r w:rsidR="009A506F" w:rsidRPr="00784F6A">
        <w:t>.</w:t>
      </w:r>
      <w:r w:rsidR="009A506F" w:rsidRPr="00784F6A">
        <w:tab/>
      </w:r>
      <w:r w:rsidR="009A506F" w:rsidRPr="00784F6A">
        <w:rPr>
          <w:i/>
          <w:iCs/>
        </w:rPr>
        <w:t xml:space="preserve">Prend note avec satisfaction </w:t>
      </w:r>
      <w:r w:rsidR="009A506F" w:rsidRPr="00784F6A">
        <w:t xml:space="preserve">des contributions de plusieurs pays et autres gouvernements donateurs à la capitalisation du </w:t>
      </w:r>
      <w:r w:rsidR="006A5637" w:rsidRPr="00784F6A">
        <w:t>Fonds du Cadre</w:t>
      </w:r>
      <w:r w:rsidR="009A506F" w:rsidRPr="00784F6A">
        <w:t xml:space="preserve"> mondial de la biodiversité, notamment l</w:t>
      </w:r>
      <w:r w:rsidR="0059442D">
        <w:t>’</w:t>
      </w:r>
      <w:r w:rsidR="009A506F" w:rsidRPr="00784F6A">
        <w:t>Allemagne, l</w:t>
      </w:r>
      <w:r w:rsidR="0059442D">
        <w:t>’</w:t>
      </w:r>
      <w:r w:rsidR="009A506F" w:rsidRPr="00784F6A">
        <w:t>Autriche, le Canada, le Danemark, l</w:t>
      </w:r>
      <w:r w:rsidR="0059442D">
        <w:t>’</w:t>
      </w:r>
      <w:r w:rsidR="009A506F" w:rsidRPr="00784F6A">
        <w:t>Espagne, la France, le Japon, le Luxembourg, la Nouvelle-Zélande, la Norvège et le Royaume-Uni de Grande-Bretagne et d</w:t>
      </w:r>
      <w:r w:rsidR="0059442D">
        <w:t>’</w:t>
      </w:r>
      <w:r w:rsidR="009A506F" w:rsidRPr="00784F6A">
        <w:t xml:space="preserve">Irlande du Nord, ainsi que le gouvernement du Québec, </w:t>
      </w:r>
      <w:r w:rsidR="00371A7F" w:rsidRPr="00784F6A">
        <w:t>pour un montant d</w:t>
      </w:r>
      <w:r w:rsidR="0059442D">
        <w:t>’</w:t>
      </w:r>
      <w:r w:rsidR="00371A7F" w:rsidRPr="00784F6A">
        <w:t>environ</w:t>
      </w:r>
      <w:r w:rsidR="009A506F" w:rsidRPr="00784F6A">
        <w:t xml:space="preserve"> </w:t>
      </w:r>
      <w:r w:rsidR="000E6F7E" w:rsidRPr="00784F6A">
        <w:t>382</w:t>
      </w:r>
      <w:r w:rsidR="006742A9" w:rsidRPr="00784F6A">
        <w:t> </w:t>
      </w:r>
      <w:r w:rsidR="009A506F" w:rsidRPr="00784F6A">
        <w:t xml:space="preserve">millions de dollars des </w:t>
      </w:r>
      <w:r w:rsidRPr="00784F6A">
        <w:rPr>
          <w:rFonts w:eastAsia="Times New Roman"/>
        </w:rPr>
        <w:t>États-Unis</w:t>
      </w:r>
      <w:r w:rsidR="00371A7F" w:rsidRPr="00784F6A">
        <w:rPr>
          <w:rFonts w:eastAsia="Times New Roman"/>
        </w:rPr>
        <w:t xml:space="preserve"> au moment de l</w:t>
      </w:r>
      <w:r w:rsidR="0059442D">
        <w:rPr>
          <w:rFonts w:eastAsia="Times New Roman"/>
        </w:rPr>
        <w:t>’</w:t>
      </w:r>
      <w:r w:rsidR="00371A7F" w:rsidRPr="00784F6A">
        <w:rPr>
          <w:rFonts w:eastAsia="Times New Roman"/>
        </w:rPr>
        <w:t>adoption de la présente décision</w:t>
      </w:r>
      <w:r w:rsidR="00371A7F" w:rsidRPr="00784F6A">
        <w:rPr>
          <w:rStyle w:val="Appelnotedebasdep"/>
        </w:rPr>
        <w:footnoteReference w:id="12"/>
      </w:r>
      <w:r w:rsidR="006742A9" w:rsidRPr="00784F6A">
        <w:t> </w:t>
      </w:r>
      <w:r w:rsidR="009A506F" w:rsidRPr="00784F6A">
        <w:t>;</w:t>
      </w:r>
    </w:p>
    <w:p w14:paraId="1BA97408" w14:textId="10407C33" w:rsidR="009B5A85" w:rsidRPr="00784F6A" w:rsidRDefault="00797AE1" w:rsidP="006E2731">
      <w:pPr>
        <w:pStyle w:val="CBDDesicionText"/>
        <w:ind w:firstLine="567"/>
        <w:rPr>
          <w:sz w:val="20"/>
          <w:szCs w:val="20"/>
        </w:rPr>
      </w:pPr>
      <w:r w:rsidRPr="00784F6A">
        <w:t>14.</w:t>
      </w:r>
      <w:r w:rsidR="009B5A85" w:rsidRPr="00784F6A">
        <w:tab/>
      </w:r>
      <w:r w:rsidR="00CF3FA3">
        <w:rPr>
          <w:i/>
          <w:iCs/>
        </w:rPr>
        <w:t>Souligne</w:t>
      </w:r>
      <w:r w:rsidR="009B5A85" w:rsidRPr="00784F6A">
        <w:t xml:space="preserve"> la nécessité </w:t>
      </w:r>
      <w:r w:rsidR="006A5637" w:rsidRPr="00784F6A">
        <w:t>d</w:t>
      </w:r>
      <w:r w:rsidR="0059442D">
        <w:t>’</w:t>
      </w:r>
      <w:r w:rsidR="006A5637" w:rsidRPr="00784F6A">
        <w:t>accroître</w:t>
      </w:r>
      <w:r w:rsidR="009B5A85" w:rsidRPr="00784F6A">
        <w:t xml:space="preserve"> considérablement la mobilisation des ressources adéquates et prévisibles mises à disposition du </w:t>
      </w:r>
      <w:r w:rsidR="006A5637" w:rsidRPr="00784F6A">
        <w:t>Fonds du Cadre</w:t>
      </w:r>
      <w:r w:rsidR="009B5A85" w:rsidRPr="00784F6A">
        <w:t xml:space="preserve"> mondial de la biodiversité afin de contribuer à la mise en œuvre du Cadre en temps en opportun, en particulier sa cible</w:t>
      </w:r>
      <w:r w:rsidR="006742A9" w:rsidRPr="00784F6A">
        <w:t> </w:t>
      </w:r>
      <w:r w:rsidR="009B5A85" w:rsidRPr="00784F6A">
        <w:t>19</w:t>
      </w:r>
      <w:r w:rsidR="00202E35" w:rsidRPr="00784F6A">
        <w:t> </w:t>
      </w:r>
      <w:r w:rsidR="009B5A85" w:rsidRPr="00784F6A">
        <w:t>;</w:t>
      </w:r>
    </w:p>
    <w:p w14:paraId="4ED506C9" w14:textId="1CE4E864" w:rsidR="00A43FEA" w:rsidRPr="00784F6A" w:rsidRDefault="00797AE1" w:rsidP="006E2731">
      <w:pPr>
        <w:pStyle w:val="CBDDesicionText"/>
        <w:ind w:firstLine="567"/>
      </w:pPr>
      <w:r w:rsidRPr="00784F6A">
        <w:t>15</w:t>
      </w:r>
      <w:r w:rsidR="009A506F" w:rsidRPr="00784F6A">
        <w:t>.</w:t>
      </w:r>
      <w:r w:rsidR="009A506F" w:rsidRPr="00784F6A">
        <w:tab/>
      </w:r>
      <w:r w:rsidR="009A506F" w:rsidRPr="00784F6A">
        <w:rPr>
          <w:i/>
          <w:iCs/>
        </w:rPr>
        <w:t>Invite</w:t>
      </w:r>
      <w:r w:rsidR="009A506F" w:rsidRPr="00784F6A">
        <w:t xml:space="preserve"> les pays développés Parties et les autres Parties qui assument volontairement les obligations des pays développés Parties et les autres pays, ainsi que le secteur privé et financier</w:t>
      </w:r>
      <w:r w:rsidR="00371A7F" w:rsidRPr="00784F6A">
        <w:t xml:space="preserve">, </w:t>
      </w:r>
      <w:r w:rsidR="009A506F" w:rsidRPr="00784F6A">
        <w:t>les organismes de bienfaisance, les organisations non gouvernementales</w:t>
      </w:r>
      <w:r w:rsidR="00371A7F" w:rsidRPr="00784F6A">
        <w:t xml:space="preserve">, </w:t>
      </w:r>
      <w:r w:rsidR="009A506F" w:rsidRPr="00784F6A">
        <w:t xml:space="preserve">les entités non souveraines et autres parties prenantes, à contribuer ou à </w:t>
      </w:r>
      <w:r w:rsidR="00371A7F" w:rsidRPr="00784F6A">
        <w:t xml:space="preserve">augmenter leurs </w:t>
      </w:r>
      <w:r w:rsidR="009A506F" w:rsidRPr="00784F6A">
        <w:t>contribu</w:t>
      </w:r>
      <w:r w:rsidR="00371A7F" w:rsidRPr="00784F6A">
        <w:t>tions</w:t>
      </w:r>
      <w:r w:rsidR="009A506F" w:rsidRPr="00784F6A">
        <w:t xml:space="preserve"> au Fonds du Cadre mondial de la biodiversité, afin d</w:t>
      </w:r>
      <w:r w:rsidR="0059442D">
        <w:t>’</w:t>
      </w:r>
      <w:r w:rsidR="009A506F" w:rsidRPr="00784F6A">
        <w:t>assurer sa capitalisation rapide de manière à ce qu</w:t>
      </w:r>
      <w:r w:rsidR="0059442D">
        <w:t>’</w:t>
      </w:r>
      <w:r w:rsidR="009A506F" w:rsidRPr="00784F6A">
        <w:t>il contribue à la mise en œuvre du Cadre</w:t>
      </w:r>
      <w:r w:rsidR="00202E35" w:rsidRPr="00784F6A">
        <w:t> </w:t>
      </w:r>
      <w:r w:rsidR="00371A7F" w:rsidRPr="00784F6A">
        <w:t xml:space="preserve">; </w:t>
      </w:r>
      <w:r w:rsidR="009A506F" w:rsidRPr="00784F6A">
        <w:t xml:space="preserve"> </w:t>
      </w:r>
      <w:r w:rsidR="00326430" w:rsidRPr="00784F6A">
        <w:t>à compléter</w:t>
      </w:r>
      <w:r w:rsidR="009A506F" w:rsidRPr="00784F6A">
        <w:t xml:space="preserve"> le soutien existant</w:t>
      </w:r>
      <w:r w:rsidR="00202E35" w:rsidRPr="00784F6A">
        <w:t> </w:t>
      </w:r>
      <w:r w:rsidR="00326430" w:rsidRPr="00784F6A">
        <w:t>;</w:t>
      </w:r>
      <w:r w:rsidR="009A506F" w:rsidRPr="00784F6A">
        <w:t xml:space="preserve"> et </w:t>
      </w:r>
      <w:r w:rsidR="00326430" w:rsidRPr="00784F6A">
        <w:t>à accroître</w:t>
      </w:r>
      <w:r w:rsidR="009A506F" w:rsidRPr="00784F6A">
        <w:t xml:space="preserve"> les ressources financières garantissant la mise en œuvre du Cadre en temps opportun, en tenant compte de la nécessité </w:t>
      </w:r>
      <w:r w:rsidR="00CF3FA3">
        <w:t xml:space="preserve">de faire en sorte </w:t>
      </w:r>
      <w:r w:rsidR="009A506F" w:rsidRPr="00784F6A">
        <w:t>que les fonds soient adéquats et prévisibles et qu</w:t>
      </w:r>
      <w:r w:rsidR="0059442D">
        <w:t>’</w:t>
      </w:r>
      <w:r w:rsidR="009A506F" w:rsidRPr="00784F6A">
        <w:t xml:space="preserve">ils circulent rapidement, </w:t>
      </w:r>
      <w:r w:rsidR="00326430" w:rsidRPr="00784F6A">
        <w:t xml:space="preserve">afin de contribuer à </w:t>
      </w:r>
      <w:r w:rsidR="00CF3FA3">
        <w:t xml:space="preserve">la réalisation de </w:t>
      </w:r>
      <w:r w:rsidR="00326430" w:rsidRPr="00784F6A">
        <w:t>l</w:t>
      </w:r>
      <w:r w:rsidR="0059442D">
        <w:t>’</w:t>
      </w:r>
      <w:r w:rsidR="00326430" w:rsidRPr="00784F6A">
        <w:t>ambition quantitative fixée dans la cible</w:t>
      </w:r>
      <w:r w:rsidR="00436638" w:rsidRPr="00784F6A">
        <w:t> </w:t>
      </w:r>
      <w:r w:rsidR="00326430" w:rsidRPr="00784F6A">
        <w:t>19 du Cadre</w:t>
      </w:r>
      <w:r w:rsidR="00202E35" w:rsidRPr="00784F6A">
        <w:t> </w:t>
      </w:r>
      <w:r w:rsidR="009A506F" w:rsidRPr="00784F6A">
        <w:t>;</w:t>
      </w:r>
    </w:p>
    <w:p w14:paraId="5D72297B" w14:textId="77777777" w:rsidR="00B14B10" w:rsidRPr="00784F6A" w:rsidRDefault="00797AE1" w:rsidP="00B14B10">
      <w:pPr>
        <w:pStyle w:val="CBDDesicionText"/>
        <w:ind w:firstLine="567"/>
      </w:pPr>
      <w:r w:rsidRPr="00784F6A">
        <w:t>16.</w:t>
      </w:r>
      <w:r w:rsidR="00A43FEA" w:rsidRPr="00784F6A">
        <w:tab/>
      </w:r>
      <w:r w:rsidR="00FA7BE2" w:rsidRPr="00784F6A">
        <w:rPr>
          <w:i/>
          <w:iCs/>
        </w:rPr>
        <w:t>Constate avec regret</w:t>
      </w:r>
      <w:r w:rsidR="00FA7BE2" w:rsidRPr="00784F6A">
        <w:t xml:space="preserve"> l</w:t>
      </w:r>
      <w:r w:rsidR="0059442D">
        <w:t>’</w:t>
      </w:r>
      <w:r w:rsidR="00FA7BE2" w:rsidRPr="00784F6A">
        <w:t xml:space="preserve">insuffisance des contributions de la part du secteur privé et financier et des organismes de bienfaisance, des organisations non gouvernementales et des autres parties prenantes au Fonds </w:t>
      </w:r>
      <w:r w:rsidR="006A5637" w:rsidRPr="00784F6A">
        <w:t>du</w:t>
      </w:r>
      <w:r w:rsidR="00FA7BE2" w:rsidRPr="00784F6A">
        <w:t xml:space="preserve"> Cadre mondial de la biodiversité et demande au Fonds pour l</w:t>
      </w:r>
      <w:r w:rsidR="0059442D">
        <w:t>’</w:t>
      </w:r>
      <w:r w:rsidR="00FA7BE2" w:rsidRPr="00784F6A">
        <w:t xml:space="preserve">environnement mondial et au Conseil du </w:t>
      </w:r>
      <w:r w:rsidR="006A5637" w:rsidRPr="00784F6A">
        <w:t>Fonds du Cadre</w:t>
      </w:r>
      <w:r w:rsidR="00FA7BE2" w:rsidRPr="00784F6A">
        <w:t xml:space="preserve"> mondial de la biodiversité d</w:t>
      </w:r>
      <w:r w:rsidR="0059442D">
        <w:t>’</w:t>
      </w:r>
      <w:r w:rsidR="00FA7BE2" w:rsidRPr="00784F6A">
        <w:t>étudier les moyens d</w:t>
      </w:r>
      <w:r w:rsidR="0059442D">
        <w:t>’</w:t>
      </w:r>
      <w:r w:rsidR="00FA7BE2" w:rsidRPr="00784F6A">
        <w:t>améliorer la mobilisation des ressources et de rendre compte des progrès accomplis à la Conférence des Parties à sa dix-septième réunion</w:t>
      </w:r>
      <w:r w:rsidR="00202E35" w:rsidRPr="00784F6A">
        <w:t> </w:t>
      </w:r>
      <w:r w:rsidR="00B14B10" w:rsidRPr="00784F6A">
        <w:t>;</w:t>
      </w:r>
    </w:p>
    <w:p w14:paraId="7FAE3310" w14:textId="6FB920B7" w:rsidR="00B14B10" w:rsidRPr="00784F6A" w:rsidRDefault="00B14B10" w:rsidP="00B14B10">
      <w:pPr>
        <w:tabs>
          <w:tab w:val="left" w:pos="2835"/>
          <w:tab w:val="left" w:pos="3402"/>
        </w:tabs>
        <w:spacing w:after="120"/>
        <w:ind w:left="567" w:firstLine="567"/>
      </w:pPr>
      <w:r w:rsidRPr="00784F6A">
        <w:t>17.</w:t>
      </w:r>
      <w:r w:rsidRPr="00784F6A">
        <w:tab/>
      </w:r>
      <w:r w:rsidR="00FA7BE2" w:rsidRPr="00784F6A">
        <w:rPr>
          <w:i/>
          <w:iCs/>
        </w:rPr>
        <w:t xml:space="preserve">Demande </w:t>
      </w:r>
      <w:r w:rsidR="00FA7BE2" w:rsidRPr="00784F6A">
        <w:t>au Fonds pour l</w:t>
      </w:r>
      <w:r w:rsidR="0059442D">
        <w:t>’</w:t>
      </w:r>
      <w:r w:rsidR="00FA7BE2" w:rsidRPr="00784F6A">
        <w:t xml:space="preserve">environnement mondial et au Conseil du Fonds </w:t>
      </w:r>
      <w:r w:rsidR="00F35B4E">
        <w:t>du</w:t>
      </w:r>
      <w:r w:rsidR="00FA7BE2" w:rsidRPr="00784F6A">
        <w:t xml:space="preserve"> Cadre mondial de la biodiversité </w:t>
      </w:r>
      <w:r w:rsidR="00F35B4E">
        <w:t>d’</w:t>
      </w:r>
      <w:r w:rsidR="00F35B4E" w:rsidRPr="00F35B4E">
        <w:t>étudier les moyens d'améliorer et de renforcer la prévisibilité du financement de la mise en œuvre du Cadre en temps voulu, y compris au moyen d'annonces de contributions pluriannuelles et en examinant les possibilités de barèmes indicatifs de contributions volontaires, et rendre compte de cette question pour examen par la Conférence des Parties à sa dix-septième réunion.</w:t>
      </w:r>
      <w:r w:rsidR="00202E35" w:rsidRPr="00784F6A">
        <w:t> </w:t>
      </w:r>
      <w:r w:rsidRPr="00784F6A">
        <w:t xml:space="preserve">; </w:t>
      </w:r>
    </w:p>
    <w:p w14:paraId="58E9F5C8" w14:textId="77777777" w:rsidR="00B14B10" w:rsidRPr="00784F6A" w:rsidRDefault="00B14B10" w:rsidP="00B14B10">
      <w:pPr>
        <w:tabs>
          <w:tab w:val="left" w:pos="2835"/>
          <w:tab w:val="left" w:pos="3402"/>
        </w:tabs>
        <w:spacing w:after="120"/>
        <w:ind w:left="567" w:firstLine="567"/>
      </w:pPr>
      <w:r w:rsidRPr="00784F6A">
        <w:lastRenderedPageBreak/>
        <w:t>18.</w:t>
      </w:r>
      <w:r w:rsidRPr="00784F6A">
        <w:tab/>
      </w:r>
      <w:r w:rsidR="00395CF5" w:rsidRPr="00784F6A">
        <w:rPr>
          <w:i/>
          <w:iCs/>
        </w:rPr>
        <w:t xml:space="preserve">Se félicite </w:t>
      </w:r>
      <w:r w:rsidR="00395CF5" w:rsidRPr="00784F6A">
        <w:t>de la part de programmation ambitieuse de 20</w:t>
      </w:r>
      <w:r w:rsidR="00436638" w:rsidRPr="00784F6A">
        <w:t> </w:t>
      </w:r>
      <w:r w:rsidR="00395CF5" w:rsidRPr="00784F6A">
        <w:t>% d</w:t>
      </w:r>
      <w:r w:rsidR="0059442D">
        <w:t>’</w:t>
      </w:r>
      <w:r w:rsidR="00395CF5" w:rsidRPr="00784F6A">
        <w:t xml:space="preserve">ici 2030 du montant total des ressources allouées au titre du </w:t>
      </w:r>
      <w:r w:rsidR="006A5637" w:rsidRPr="00784F6A">
        <w:t>Fonds du Cadre</w:t>
      </w:r>
      <w:r w:rsidR="00395CF5" w:rsidRPr="00784F6A">
        <w:t xml:space="preserve"> mondial de la biodiversité afin d</w:t>
      </w:r>
      <w:r w:rsidR="0059442D">
        <w:t>’</w:t>
      </w:r>
      <w:r w:rsidR="00395CF5" w:rsidRPr="00784F6A">
        <w:t>appuyer les actions menées par les peuples autochtones et communautés locales, et demande instamment au Fonds pour l</w:t>
      </w:r>
      <w:r w:rsidR="0059442D">
        <w:t>’</w:t>
      </w:r>
      <w:r w:rsidR="00395CF5" w:rsidRPr="00784F6A">
        <w:t>environnement mondial de veiller à ce que les projets menés par les pays qui contribuent à cette cible soient conçus et mis en œuvre en consultation et en partenariat avec les peuples autochtones et communautés locales</w:t>
      </w:r>
      <w:r w:rsidR="00202E35" w:rsidRPr="00784F6A">
        <w:rPr>
          <w:i/>
          <w:iCs/>
        </w:rPr>
        <w:t> </w:t>
      </w:r>
      <w:r w:rsidRPr="00784F6A">
        <w:t>;</w:t>
      </w:r>
    </w:p>
    <w:p w14:paraId="2286D4FF" w14:textId="13707049" w:rsidR="00B14B10" w:rsidRPr="00784F6A" w:rsidRDefault="00B14B10" w:rsidP="00B14B10">
      <w:pPr>
        <w:tabs>
          <w:tab w:val="clear" w:pos="2268"/>
          <w:tab w:val="left" w:pos="1843"/>
          <w:tab w:val="left" w:pos="2694"/>
          <w:tab w:val="left" w:pos="3402"/>
        </w:tabs>
        <w:spacing w:after="120"/>
        <w:ind w:left="567" w:firstLine="567"/>
        <w:rPr>
          <w:rFonts w:eastAsia="Times New Roman"/>
          <w:color w:val="000000"/>
        </w:rPr>
      </w:pPr>
      <w:r w:rsidRPr="00784F6A">
        <w:rPr>
          <w:rFonts w:eastAsia="Times New Roman"/>
          <w:color w:val="000000"/>
        </w:rPr>
        <w:t>19.</w:t>
      </w:r>
      <w:r w:rsidRPr="00784F6A">
        <w:rPr>
          <w:rFonts w:eastAsia="Times New Roman"/>
          <w:color w:val="000000"/>
        </w:rPr>
        <w:tab/>
      </w:r>
      <w:r w:rsidR="00395CF5" w:rsidRPr="00784F6A">
        <w:rPr>
          <w:rFonts w:eastAsia="Times New Roman"/>
          <w:i/>
          <w:iCs/>
          <w:color w:val="000000"/>
        </w:rPr>
        <w:t xml:space="preserve">Se félicite également </w:t>
      </w:r>
      <w:r w:rsidR="00F35B4E">
        <w:rPr>
          <w:rFonts w:eastAsia="Times New Roman"/>
          <w:color w:val="000000"/>
        </w:rPr>
        <w:t>du fait</w:t>
      </w:r>
      <w:r w:rsidR="00395CF5" w:rsidRPr="00784F6A">
        <w:rPr>
          <w:rFonts w:eastAsia="Times New Roman"/>
          <w:color w:val="000000"/>
        </w:rPr>
        <w:t xml:space="preserve"> que 25</w:t>
      </w:r>
      <w:r w:rsidR="00436638" w:rsidRPr="00784F6A">
        <w:rPr>
          <w:rFonts w:eastAsia="Times New Roman"/>
          <w:color w:val="000000"/>
        </w:rPr>
        <w:t> </w:t>
      </w:r>
      <w:r w:rsidR="00395CF5" w:rsidRPr="00784F6A">
        <w:rPr>
          <w:rFonts w:eastAsia="Times New Roman"/>
          <w:color w:val="000000"/>
        </w:rPr>
        <w:t xml:space="preserve">% des ressources du </w:t>
      </w:r>
      <w:r w:rsidR="006A5637" w:rsidRPr="00784F6A">
        <w:rPr>
          <w:rFonts w:eastAsia="Times New Roman"/>
          <w:color w:val="000000"/>
        </w:rPr>
        <w:t>Fonds du Cadre</w:t>
      </w:r>
      <w:r w:rsidR="00395CF5" w:rsidRPr="00784F6A">
        <w:rPr>
          <w:rFonts w:eastAsia="Times New Roman"/>
          <w:color w:val="000000"/>
        </w:rPr>
        <w:t xml:space="preserve"> mondial de la biodiversité doivent être programmées par l</w:t>
      </w:r>
      <w:r w:rsidR="0059442D">
        <w:rPr>
          <w:rFonts w:eastAsia="Times New Roman"/>
          <w:color w:val="000000"/>
        </w:rPr>
        <w:t>’</w:t>
      </w:r>
      <w:r w:rsidR="00395CF5" w:rsidRPr="00784F6A">
        <w:rPr>
          <w:rFonts w:eastAsia="Times New Roman"/>
          <w:color w:val="000000"/>
        </w:rPr>
        <w:t>intermédiaire d</w:t>
      </w:r>
      <w:r w:rsidR="0059442D">
        <w:rPr>
          <w:rFonts w:eastAsia="Times New Roman"/>
          <w:color w:val="000000"/>
        </w:rPr>
        <w:t>’</w:t>
      </w:r>
      <w:r w:rsidR="00395CF5" w:rsidRPr="00784F6A">
        <w:rPr>
          <w:rFonts w:eastAsia="Times New Roman"/>
          <w:color w:val="000000"/>
        </w:rPr>
        <w:t>institutions financières internationales qui sont des agences du Fonds pour l</w:t>
      </w:r>
      <w:r w:rsidR="0059442D">
        <w:rPr>
          <w:rFonts w:eastAsia="Times New Roman"/>
          <w:color w:val="000000"/>
        </w:rPr>
        <w:t>’</w:t>
      </w:r>
      <w:r w:rsidR="00395CF5" w:rsidRPr="00784F6A">
        <w:rPr>
          <w:rFonts w:eastAsia="Times New Roman"/>
          <w:color w:val="000000"/>
        </w:rPr>
        <w:t>environnement mondial</w:t>
      </w:r>
      <w:r w:rsidR="00202E35" w:rsidRPr="00784F6A">
        <w:rPr>
          <w:rFonts w:eastAsia="Times New Roman"/>
          <w:color w:val="000000"/>
        </w:rPr>
        <w:t> </w:t>
      </w:r>
      <w:r w:rsidRPr="00784F6A">
        <w:rPr>
          <w:rFonts w:eastAsia="Times New Roman"/>
          <w:color w:val="000000"/>
        </w:rPr>
        <w:t>;</w:t>
      </w:r>
    </w:p>
    <w:p w14:paraId="29A5FE39" w14:textId="2EEC8F7C" w:rsidR="00B14B10" w:rsidRPr="00784F6A" w:rsidRDefault="00B14B10" w:rsidP="00395CF5">
      <w:pPr>
        <w:pStyle w:val="CBDAnnex"/>
        <w:spacing w:before="240" w:after="120"/>
        <w:ind w:left="567"/>
        <w:rPr>
          <w:sz w:val="22"/>
        </w:rPr>
      </w:pPr>
      <w:bookmarkStart w:id="2" w:name="_Hlk164296833"/>
      <w:r w:rsidRPr="00784F6A">
        <w:rPr>
          <w:sz w:val="24"/>
        </w:rPr>
        <w:t>III</w:t>
      </w:r>
      <w:r w:rsidRPr="00784F6A">
        <w:rPr>
          <w:sz w:val="24"/>
        </w:rPr>
        <w:br/>
      </w:r>
      <w:r w:rsidR="002525F7" w:rsidRPr="00784F6A">
        <w:rPr>
          <w:bCs/>
          <w:sz w:val="22"/>
        </w:rPr>
        <w:t xml:space="preserve">Cadre quadriennal axé sur les résultats des priorités du programme sur la diversité biologique de la Convention sur la diversité biologique et de ses </w:t>
      </w:r>
      <w:r w:rsidR="00CF3FA3">
        <w:rPr>
          <w:bCs/>
          <w:sz w:val="22"/>
        </w:rPr>
        <w:t>P</w:t>
      </w:r>
      <w:r w:rsidR="002525F7" w:rsidRPr="00784F6A">
        <w:rPr>
          <w:bCs/>
          <w:sz w:val="22"/>
        </w:rPr>
        <w:t>rotocoles</w:t>
      </w:r>
    </w:p>
    <w:p w14:paraId="6016A466" w14:textId="7E21A0C2" w:rsidR="00B14B10" w:rsidRPr="00784F6A" w:rsidRDefault="00B14B10" w:rsidP="00B14B10">
      <w:pPr>
        <w:tabs>
          <w:tab w:val="left" w:pos="2835"/>
          <w:tab w:val="left" w:pos="3402"/>
        </w:tabs>
        <w:spacing w:after="120"/>
        <w:ind w:left="567" w:firstLine="567"/>
        <w:rPr>
          <w:iCs/>
        </w:rPr>
      </w:pPr>
      <w:r w:rsidRPr="00784F6A">
        <w:t>20.</w:t>
      </w:r>
      <w:r w:rsidRPr="00784F6A">
        <w:tab/>
      </w:r>
      <w:r w:rsidR="002525F7" w:rsidRPr="00784F6A">
        <w:rPr>
          <w:i/>
        </w:rPr>
        <w:t xml:space="preserve">Adopte </w:t>
      </w:r>
      <w:r w:rsidR="002525F7" w:rsidRPr="00784F6A">
        <w:rPr>
          <w:iCs/>
        </w:rPr>
        <w:t xml:space="preserve">le Cadre quadriennal axé sur les résultats des priorités du programme sur la diversité biologique de la Convention figurant en annexe à la présente décision à titre de principale orientation pour la neuvième reconstitution </w:t>
      </w:r>
      <w:r w:rsidR="00CF3FA3">
        <w:rPr>
          <w:iCs/>
        </w:rPr>
        <w:t xml:space="preserve">des ressources </w:t>
      </w:r>
      <w:r w:rsidR="002525F7" w:rsidRPr="00784F6A">
        <w:rPr>
          <w:iCs/>
        </w:rPr>
        <w:t>de la Caisse du Fonds pour l</w:t>
      </w:r>
      <w:r w:rsidR="0059442D">
        <w:rPr>
          <w:iCs/>
        </w:rPr>
        <w:t>’</w:t>
      </w:r>
      <w:r w:rsidR="002525F7" w:rsidRPr="00784F6A">
        <w:rPr>
          <w:iCs/>
        </w:rPr>
        <w:t>environnement mondial (juillet 2026-juin 2030), qui s</w:t>
      </w:r>
      <w:r w:rsidR="0059442D">
        <w:rPr>
          <w:iCs/>
        </w:rPr>
        <w:t>’</w:t>
      </w:r>
      <w:r w:rsidR="002525F7" w:rsidRPr="00784F6A">
        <w:rPr>
          <w:iCs/>
        </w:rPr>
        <w:t>aligne sur le Cadre mondial de la biodiversité de Kunming-Montréal</w:t>
      </w:r>
      <w:r w:rsidR="00202E35" w:rsidRPr="00784F6A">
        <w:rPr>
          <w:iCs/>
        </w:rPr>
        <w:t> </w:t>
      </w:r>
      <w:r w:rsidRPr="00784F6A">
        <w:rPr>
          <w:iCs/>
        </w:rPr>
        <w:t>;</w:t>
      </w:r>
      <w:bookmarkEnd w:id="2"/>
    </w:p>
    <w:p w14:paraId="5FADD922" w14:textId="77777777" w:rsidR="00B14B10" w:rsidRPr="00784F6A" w:rsidRDefault="00B14B10" w:rsidP="00B14B10">
      <w:pPr>
        <w:tabs>
          <w:tab w:val="left" w:pos="2835"/>
          <w:tab w:val="left" w:pos="3402"/>
        </w:tabs>
        <w:spacing w:after="120"/>
        <w:ind w:left="567" w:firstLine="567"/>
        <w:rPr>
          <w:bCs/>
        </w:rPr>
      </w:pPr>
      <w:r w:rsidRPr="00784F6A">
        <w:t>21.</w:t>
      </w:r>
      <w:r w:rsidRPr="00784F6A">
        <w:tab/>
      </w:r>
      <w:r w:rsidR="002525F7" w:rsidRPr="00784F6A">
        <w:rPr>
          <w:i/>
          <w:iCs/>
        </w:rPr>
        <w:t>Demande</w:t>
      </w:r>
      <w:r w:rsidR="002525F7" w:rsidRPr="00784F6A">
        <w:t xml:space="preserve"> au Fonds pour l</w:t>
      </w:r>
      <w:r w:rsidR="0059442D">
        <w:t>’</w:t>
      </w:r>
      <w:r w:rsidR="002525F7" w:rsidRPr="00784F6A">
        <w:t>environnement mondial d</w:t>
      </w:r>
      <w:r w:rsidR="0059442D">
        <w:t>’</w:t>
      </w:r>
      <w:r w:rsidR="002525F7" w:rsidRPr="00784F6A">
        <w:t>inclure dans son rapport à la Conférence des Parties des renseignements sur ses réponses concernant le cadre quadriennal axé sur les résultats et d</w:t>
      </w:r>
      <w:r w:rsidR="0059442D">
        <w:t>’</w:t>
      </w:r>
      <w:r w:rsidR="002525F7" w:rsidRPr="00784F6A">
        <w:t>expliquer comment ces réponses contribuent à la réalisation de chaque cible du Cadre mondial de la biodiversité de Kunming-Montréal, en plus des considérations relatives à sa mise en œuvre (section C du Cadre), et contribuent aux objectifs de la Convention et de ses Protocoles</w:t>
      </w:r>
      <w:r w:rsidR="00202E35" w:rsidRPr="00784F6A">
        <w:t> </w:t>
      </w:r>
      <w:r w:rsidRPr="00784F6A">
        <w:rPr>
          <w:bCs/>
        </w:rPr>
        <w:t>;</w:t>
      </w:r>
    </w:p>
    <w:p w14:paraId="2B6FE5C3" w14:textId="6C21CBFF" w:rsidR="00B14B10" w:rsidRPr="00784F6A" w:rsidRDefault="00B14B10" w:rsidP="00B14B10">
      <w:pPr>
        <w:tabs>
          <w:tab w:val="left" w:pos="2835"/>
          <w:tab w:val="left" w:pos="3402"/>
        </w:tabs>
        <w:spacing w:after="120"/>
        <w:ind w:left="567" w:firstLine="567"/>
      </w:pPr>
      <w:r w:rsidRPr="00784F6A">
        <w:t>22.</w:t>
      </w:r>
      <w:r w:rsidRPr="00784F6A">
        <w:tab/>
      </w:r>
      <w:r w:rsidR="002525F7" w:rsidRPr="00784F6A">
        <w:rPr>
          <w:i/>
          <w:iCs/>
        </w:rPr>
        <w:t>Encourage</w:t>
      </w:r>
      <w:r w:rsidR="002525F7" w:rsidRPr="00784F6A">
        <w:t xml:space="preserve"> les organes directeurs des diverses conventions relatives à la biodiversité à </w:t>
      </w:r>
      <w:r w:rsidR="00CF3FA3">
        <w:t>inscrire</w:t>
      </w:r>
      <w:r w:rsidR="002525F7" w:rsidRPr="00784F6A">
        <w:t xml:space="preserve"> un point permanent </w:t>
      </w:r>
      <w:r w:rsidR="00CF3FA3">
        <w:t>à</w:t>
      </w:r>
      <w:r w:rsidR="002525F7" w:rsidRPr="00784F6A">
        <w:t xml:space="preserve"> l</w:t>
      </w:r>
      <w:r w:rsidR="0059442D">
        <w:t>’</w:t>
      </w:r>
      <w:r w:rsidR="002525F7" w:rsidRPr="00784F6A">
        <w:t>ordre du jour de leurs réunions pour la fourniture de conseils stratégiques, comme il convient, concernant des mesures nationales qui pourraient favoriser la collaboration, la coopération et les synergies, selon le cas, afin d</w:t>
      </w:r>
      <w:r w:rsidR="0059442D">
        <w:t>’</w:t>
      </w:r>
      <w:r w:rsidR="002525F7" w:rsidRPr="00784F6A">
        <w:t>atteindre les objectifs de la Convention sur la diversité biologique et de ses Protocoles et les objectifs et cibles du Cadre, qui peut être renvoyé au Fonds pour l</w:t>
      </w:r>
      <w:r w:rsidR="0059442D">
        <w:t>’</w:t>
      </w:r>
      <w:r w:rsidR="002525F7" w:rsidRPr="00784F6A">
        <w:t>environnement mondial par le biais de la Conférence des Parties, et de demander à leurs secrétariats respectifs de communiquer ces conseils à la Secrétaire exécutive de la Convention</w:t>
      </w:r>
      <w:r w:rsidR="00202E35" w:rsidRPr="00784F6A">
        <w:t> </w:t>
      </w:r>
      <w:r w:rsidRPr="00784F6A">
        <w:t>;</w:t>
      </w:r>
    </w:p>
    <w:p w14:paraId="7ECE3FB4" w14:textId="67CFC894" w:rsidR="00B14B10" w:rsidRPr="00784F6A" w:rsidRDefault="00B14B10" w:rsidP="00B14B10">
      <w:pPr>
        <w:tabs>
          <w:tab w:val="left" w:pos="2835"/>
          <w:tab w:val="left" w:pos="3402"/>
        </w:tabs>
        <w:spacing w:after="120"/>
        <w:ind w:left="567" w:firstLine="567"/>
      </w:pPr>
      <w:r w:rsidRPr="00784F6A">
        <w:t>23.</w:t>
      </w:r>
      <w:r w:rsidRPr="00784F6A">
        <w:tab/>
      </w:r>
      <w:r w:rsidR="004F440F" w:rsidRPr="00784F6A">
        <w:rPr>
          <w:i/>
          <w:iCs/>
        </w:rPr>
        <w:t xml:space="preserve">Invite </w:t>
      </w:r>
      <w:r w:rsidR="004F440F" w:rsidRPr="00784F6A">
        <w:t xml:space="preserve">les secrétariats des conventions relatives à la diversité biologique à participer et à apporter leur contribution dans le cadre des consultations </w:t>
      </w:r>
      <w:proofErr w:type="spellStart"/>
      <w:r w:rsidR="004F440F" w:rsidRPr="00784F6A">
        <w:t>intersecrétariats</w:t>
      </w:r>
      <w:proofErr w:type="spellEnd"/>
      <w:r w:rsidR="004F440F" w:rsidRPr="00784F6A">
        <w:t xml:space="preserve"> qui seront convoquées par la Secrétaire exécutive de la Convention sur la diversité biologique au moment de l</w:t>
      </w:r>
      <w:r w:rsidR="0059442D">
        <w:t>’</w:t>
      </w:r>
      <w:r w:rsidR="004F440F" w:rsidRPr="00784F6A">
        <w:t>élaboration des contributions du secrétariat de la Convention à la rédaction des orientations programmatiques et des recommandations de politique générale pour les négociations relatives à la neuvième reconstitution</w:t>
      </w:r>
      <w:r w:rsidR="00CF3FA3">
        <w:t xml:space="preserve"> des ressources</w:t>
      </w:r>
      <w:r w:rsidR="004F440F" w:rsidRPr="00784F6A">
        <w:t xml:space="preserve"> de la Caisse du Fonds pour l</w:t>
      </w:r>
      <w:r w:rsidR="0059442D">
        <w:t>’</w:t>
      </w:r>
      <w:r w:rsidR="004F440F" w:rsidRPr="00784F6A">
        <w:t>environnement mondial, auxquelles le Fonds participera, conformément au paragraphe</w:t>
      </w:r>
      <w:r w:rsidR="00436638" w:rsidRPr="00784F6A">
        <w:t> </w:t>
      </w:r>
      <w:r w:rsidR="004F440F" w:rsidRPr="00784F6A">
        <w:t>7 du mémorandum d</w:t>
      </w:r>
      <w:r w:rsidR="0059442D">
        <w:t>’</w:t>
      </w:r>
      <w:r w:rsidR="004F440F" w:rsidRPr="00784F6A">
        <w:t>accord entre la Conférence des Parties et le Conseil du Fonds pour l</w:t>
      </w:r>
      <w:r w:rsidR="0059442D">
        <w:t>’</w:t>
      </w:r>
      <w:r w:rsidR="004F440F" w:rsidRPr="00784F6A">
        <w:t>environnement mondial</w:t>
      </w:r>
      <w:r w:rsidR="00202E35" w:rsidRPr="00784F6A">
        <w:t> </w:t>
      </w:r>
      <w:r w:rsidRPr="00784F6A">
        <w:t>;</w:t>
      </w:r>
    </w:p>
    <w:p w14:paraId="496EE2BD" w14:textId="77777777" w:rsidR="00B14B10" w:rsidRPr="00784F6A" w:rsidRDefault="00B14B10" w:rsidP="00B14B10">
      <w:pPr>
        <w:keepNext/>
        <w:keepLines/>
        <w:tabs>
          <w:tab w:val="left" w:pos="2835"/>
          <w:tab w:val="left" w:pos="3402"/>
          <w:tab w:val="left" w:pos="3969"/>
        </w:tabs>
        <w:spacing w:before="120" w:after="120"/>
        <w:ind w:left="567"/>
        <w:rPr>
          <w:b/>
          <w:sz w:val="24"/>
        </w:rPr>
      </w:pPr>
      <w:r w:rsidRPr="00784F6A">
        <w:rPr>
          <w:b/>
          <w:sz w:val="24"/>
        </w:rPr>
        <w:t>IV</w:t>
      </w:r>
      <w:r w:rsidRPr="00784F6A">
        <w:rPr>
          <w:b/>
          <w:sz w:val="24"/>
        </w:rPr>
        <w:br/>
      </w:r>
      <w:r w:rsidR="00727E85" w:rsidRPr="00784F6A">
        <w:rPr>
          <w:b/>
          <w:sz w:val="24"/>
        </w:rPr>
        <w:t>Évaluation des besoins de financement</w:t>
      </w:r>
    </w:p>
    <w:p w14:paraId="3DFD3A5C" w14:textId="57A17CFE" w:rsidR="00727E85" w:rsidRPr="00784F6A" w:rsidRDefault="00B14B10" w:rsidP="00727E85">
      <w:pPr>
        <w:tabs>
          <w:tab w:val="left" w:pos="2835"/>
          <w:tab w:val="left" w:pos="3402"/>
        </w:tabs>
        <w:spacing w:after="120"/>
        <w:ind w:left="567" w:firstLine="567"/>
      </w:pPr>
      <w:r w:rsidRPr="00784F6A">
        <w:t>24.</w:t>
      </w:r>
      <w:r w:rsidRPr="00784F6A">
        <w:tab/>
      </w:r>
      <w:r w:rsidR="00727E85" w:rsidRPr="00784F6A">
        <w:rPr>
          <w:i/>
          <w:iCs/>
        </w:rPr>
        <w:t>Prie</w:t>
      </w:r>
      <w:r w:rsidR="00727E85" w:rsidRPr="00784F6A">
        <w:t xml:space="preserve"> la Secrétaire exécutive de compiler et de transmettre, dès que possible, les informations sur les besoins de financement reçues de tous les pays en développement Parties remplissant les conditions requises, en particulier les pays les moins avancés et les petits États insulaires en développement, ainsi que les Parties à économie en transition, au secrétariat du Fonds pour l</w:t>
      </w:r>
      <w:r w:rsidR="0059442D">
        <w:t>’</w:t>
      </w:r>
      <w:r w:rsidR="00727E85" w:rsidRPr="00784F6A">
        <w:t xml:space="preserve">environnement mondial et aux participants aux négociations relatives à la neuvième </w:t>
      </w:r>
      <w:r w:rsidR="00CF3FA3">
        <w:t>reconstitution des ressources de la Caisse</w:t>
      </w:r>
      <w:r w:rsidR="00727E85" w:rsidRPr="00784F6A">
        <w:t xml:space="preserve"> du Fonds pour l</w:t>
      </w:r>
      <w:r w:rsidR="0059442D">
        <w:t>’</w:t>
      </w:r>
      <w:r w:rsidR="00727E85" w:rsidRPr="00784F6A">
        <w:t>environnement mondial</w:t>
      </w:r>
      <w:r w:rsidR="00202E35" w:rsidRPr="00784F6A">
        <w:t> </w:t>
      </w:r>
      <w:r w:rsidR="00727E85" w:rsidRPr="00784F6A">
        <w:t>;</w:t>
      </w:r>
    </w:p>
    <w:p w14:paraId="36B4C320" w14:textId="77777777" w:rsidR="00B14B10" w:rsidRPr="00784F6A" w:rsidRDefault="00727E85" w:rsidP="00727E85">
      <w:pPr>
        <w:tabs>
          <w:tab w:val="left" w:pos="2835"/>
          <w:tab w:val="left" w:pos="3402"/>
        </w:tabs>
        <w:spacing w:after="120"/>
        <w:ind w:left="567" w:firstLine="567"/>
      </w:pPr>
      <w:r w:rsidRPr="00784F6A">
        <w:lastRenderedPageBreak/>
        <w:t xml:space="preserve">25.    </w:t>
      </w:r>
      <w:r w:rsidRPr="00784F6A">
        <w:rPr>
          <w:i/>
          <w:iCs/>
        </w:rPr>
        <w:t>Prie</w:t>
      </w:r>
      <w:r w:rsidRPr="00784F6A">
        <w:t xml:space="preserve"> également la Secrétaire exécutive de tirer parti de l</w:t>
      </w:r>
      <w:r w:rsidR="0059442D">
        <w:t>’</w:t>
      </w:r>
      <w:r w:rsidRPr="00784F6A">
        <w:t>expérience acquise et des enseignements tirés de la mise en œuvre du mandat relatif à l</w:t>
      </w:r>
      <w:r w:rsidR="0059442D">
        <w:t>’</w:t>
      </w:r>
      <w:r w:rsidRPr="00784F6A">
        <w:t>évaluation des besoins de financement du Fonds pour l</w:t>
      </w:r>
      <w:r w:rsidR="0059442D">
        <w:t>’</w:t>
      </w:r>
      <w:r w:rsidRPr="00784F6A">
        <w:t>environnement mondial aux fins de la mise en œuvre de la Convention et de ses Protocoles et d</w:t>
      </w:r>
      <w:r w:rsidR="0059442D">
        <w:t>’</w:t>
      </w:r>
      <w:r w:rsidRPr="00784F6A">
        <w:t xml:space="preserve">élaborer un projet de mandat en vue de procéder à la cinquième détermination des besoins de financement pour la dixième reconstitution des ressources de la </w:t>
      </w:r>
      <w:r w:rsidR="00E92A58" w:rsidRPr="00784F6A">
        <w:t>C</w:t>
      </w:r>
      <w:r w:rsidRPr="00784F6A">
        <w:t>aisse du Fonds pour l</w:t>
      </w:r>
      <w:r w:rsidR="0059442D">
        <w:t>’</w:t>
      </w:r>
      <w:r w:rsidRPr="00784F6A">
        <w:t>environnement mondial (juillet 2030-juin 2034), pour examen par l</w:t>
      </w:r>
      <w:r w:rsidR="0059442D">
        <w:t>’</w:t>
      </w:r>
      <w:r w:rsidRPr="00784F6A">
        <w:t>Organe subsidiaire chargé de l</w:t>
      </w:r>
      <w:r w:rsidR="0059442D">
        <w:t>’</w:t>
      </w:r>
      <w:r w:rsidRPr="00784F6A">
        <w:t>application à une réunion tenue avant la dix-septième réunion de la Conférence des Parties et par la Conférence des Parties à sa dix-septième réunion</w:t>
      </w:r>
      <w:r w:rsidR="00202E35" w:rsidRPr="00784F6A">
        <w:t> </w:t>
      </w:r>
      <w:r w:rsidR="00B14B10" w:rsidRPr="00784F6A">
        <w:t>;</w:t>
      </w:r>
    </w:p>
    <w:p w14:paraId="4FAE6516" w14:textId="77777777" w:rsidR="00B14B10" w:rsidRPr="00784F6A" w:rsidRDefault="00B14B10" w:rsidP="00B14B10">
      <w:pPr>
        <w:keepNext/>
        <w:keepLines/>
        <w:tabs>
          <w:tab w:val="left" w:pos="2835"/>
          <w:tab w:val="left" w:pos="3402"/>
          <w:tab w:val="left" w:pos="3969"/>
        </w:tabs>
        <w:spacing w:before="120" w:after="120"/>
        <w:ind w:left="567"/>
        <w:rPr>
          <w:b/>
          <w:sz w:val="24"/>
        </w:rPr>
      </w:pPr>
      <w:r w:rsidRPr="00784F6A">
        <w:rPr>
          <w:b/>
          <w:sz w:val="24"/>
        </w:rPr>
        <w:t>V</w:t>
      </w:r>
      <w:r w:rsidRPr="00784F6A">
        <w:rPr>
          <w:b/>
          <w:sz w:val="24"/>
        </w:rPr>
        <w:br/>
      </w:r>
      <w:r w:rsidR="00BB262E" w:rsidRPr="00784F6A">
        <w:rPr>
          <w:b/>
          <w:sz w:val="24"/>
        </w:rPr>
        <w:t>Nouvelles orientations à intention du Fonds pour l</w:t>
      </w:r>
      <w:r w:rsidR="0059442D">
        <w:rPr>
          <w:b/>
          <w:sz w:val="24"/>
        </w:rPr>
        <w:t>’</w:t>
      </w:r>
      <w:r w:rsidR="00BB262E" w:rsidRPr="00784F6A">
        <w:rPr>
          <w:b/>
          <w:sz w:val="24"/>
        </w:rPr>
        <w:t>environnement mondial</w:t>
      </w:r>
    </w:p>
    <w:p w14:paraId="7068DB40" w14:textId="77777777" w:rsidR="00B14B10" w:rsidRPr="00784F6A" w:rsidRDefault="00B14B10" w:rsidP="00B14B10">
      <w:pPr>
        <w:tabs>
          <w:tab w:val="left" w:pos="2835"/>
          <w:tab w:val="left" w:pos="3402"/>
        </w:tabs>
        <w:spacing w:after="120"/>
        <w:ind w:left="567" w:firstLine="567"/>
      </w:pPr>
      <w:r w:rsidRPr="00784F6A">
        <w:t>26.</w:t>
      </w:r>
      <w:r w:rsidRPr="00784F6A">
        <w:tab/>
      </w:r>
      <w:r w:rsidR="00BB262E" w:rsidRPr="00784F6A">
        <w:rPr>
          <w:i/>
          <w:iCs/>
        </w:rPr>
        <w:t xml:space="preserve">Prend </w:t>
      </w:r>
      <w:r w:rsidR="00BB262E" w:rsidRPr="00784F6A">
        <w:t>note des orientations antérieures consolidées à l</w:t>
      </w:r>
      <w:r w:rsidR="0059442D">
        <w:t>’</w:t>
      </w:r>
      <w:r w:rsidR="00BB262E" w:rsidRPr="00784F6A">
        <w:t>intention du Fonds pour l</w:t>
      </w:r>
      <w:r w:rsidR="0059442D">
        <w:t>’</w:t>
      </w:r>
      <w:r w:rsidR="00BB262E" w:rsidRPr="00784F6A">
        <w:t>environnement mondial, qui figurent à l</w:t>
      </w:r>
      <w:r w:rsidR="0059442D">
        <w:t>’</w:t>
      </w:r>
      <w:r w:rsidR="00BB262E" w:rsidRPr="00784F6A">
        <w:t>annexe du document</w:t>
      </w:r>
      <w:r w:rsidRPr="00784F6A">
        <w:t xml:space="preserve"> </w:t>
      </w:r>
      <w:hyperlink r:id="rId16" w:history="1">
        <w:r w:rsidRPr="00784F6A">
          <w:rPr>
            <w:color w:val="0563C1" w:themeColor="hyperlink"/>
            <w:u w:val="single"/>
          </w:rPr>
          <w:t>CBD/COP/16/6/Add.1</w:t>
        </w:r>
      </w:hyperlink>
      <w:r w:rsidR="00202E35" w:rsidRPr="00784F6A">
        <w:t> </w:t>
      </w:r>
      <w:r w:rsidRPr="00784F6A">
        <w:t>;</w:t>
      </w:r>
    </w:p>
    <w:p w14:paraId="01B0136D" w14:textId="77777777" w:rsidR="00B14B10" w:rsidRPr="00784F6A" w:rsidRDefault="00B14B10" w:rsidP="00B14B10">
      <w:pPr>
        <w:tabs>
          <w:tab w:val="left" w:pos="2835"/>
          <w:tab w:val="left" w:pos="3402"/>
        </w:tabs>
        <w:spacing w:after="120"/>
        <w:ind w:left="567" w:firstLine="567"/>
      </w:pPr>
      <w:r w:rsidRPr="00784F6A">
        <w:t>27.</w:t>
      </w:r>
      <w:r w:rsidRPr="00784F6A">
        <w:tab/>
      </w:r>
      <w:r w:rsidR="00BB262E" w:rsidRPr="00784F6A">
        <w:rPr>
          <w:i/>
          <w:iCs/>
        </w:rPr>
        <w:t xml:space="preserve">Adopte </w:t>
      </w:r>
      <w:r w:rsidR="00BB262E" w:rsidRPr="00784F6A">
        <w:t>les orientations supplémentaires à l</w:t>
      </w:r>
      <w:r w:rsidR="0059442D">
        <w:t>’</w:t>
      </w:r>
      <w:r w:rsidR="00BB262E" w:rsidRPr="00784F6A">
        <w:t>intention du Fonds pour l</w:t>
      </w:r>
      <w:r w:rsidR="0059442D">
        <w:t>’</w:t>
      </w:r>
      <w:r w:rsidR="00BB262E" w:rsidRPr="00784F6A">
        <w:t>environnement mondial qui figurent à l</w:t>
      </w:r>
      <w:r w:rsidR="0059442D">
        <w:t>’</w:t>
      </w:r>
      <w:r w:rsidR="00BB262E" w:rsidRPr="00784F6A">
        <w:t>annexe</w:t>
      </w:r>
      <w:r w:rsidR="00436638" w:rsidRPr="00784F6A">
        <w:t> </w:t>
      </w:r>
      <w:r w:rsidR="00BB262E" w:rsidRPr="00784F6A">
        <w:t>II de la présente décision et demande au Conseil du Fonds pour l</w:t>
      </w:r>
      <w:r w:rsidR="0059442D">
        <w:t>’</w:t>
      </w:r>
      <w:r w:rsidR="00BB262E" w:rsidRPr="00784F6A">
        <w:t>environnement mondial de faire figurer dans ses rapports à la Conférence des Parties des informations concernant la mise en œuvre de ces orientations supplémentaires</w:t>
      </w:r>
      <w:r w:rsidR="00202E35" w:rsidRPr="00784F6A">
        <w:t> </w:t>
      </w:r>
      <w:r w:rsidRPr="00784F6A">
        <w:t>;</w:t>
      </w:r>
    </w:p>
    <w:p w14:paraId="5AE5E2BC" w14:textId="77777777" w:rsidR="00B14B10" w:rsidRPr="00784F6A" w:rsidRDefault="00B14B10" w:rsidP="00B14B10">
      <w:pPr>
        <w:tabs>
          <w:tab w:val="left" w:pos="2835"/>
          <w:tab w:val="left" w:pos="3402"/>
        </w:tabs>
        <w:spacing w:after="120"/>
        <w:ind w:left="567" w:firstLine="567"/>
      </w:pPr>
      <w:r w:rsidRPr="00784F6A">
        <w:t>28.</w:t>
      </w:r>
      <w:r w:rsidRPr="00784F6A">
        <w:tab/>
      </w:r>
      <w:r w:rsidR="00BB262E" w:rsidRPr="00784F6A">
        <w:rPr>
          <w:i/>
          <w:iCs/>
        </w:rPr>
        <w:t xml:space="preserve">Demande </w:t>
      </w:r>
      <w:r w:rsidR="00BB262E" w:rsidRPr="00784F6A">
        <w:t>à l</w:t>
      </w:r>
      <w:r w:rsidR="0059442D">
        <w:t>’</w:t>
      </w:r>
      <w:r w:rsidR="00BB262E" w:rsidRPr="00784F6A">
        <w:t>Organe subsidiaire chargé de l</w:t>
      </w:r>
      <w:r w:rsidR="0059442D">
        <w:t>’</w:t>
      </w:r>
      <w:r w:rsidR="00BB262E" w:rsidRPr="00784F6A">
        <w:t>application d</w:t>
      </w:r>
      <w:r w:rsidR="0059442D">
        <w:t>’</w:t>
      </w:r>
      <w:r w:rsidR="00BB262E" w:rsidRPr="00784F6A">
        <w:t>examiner, à une réunion tenue avant la dix-septième réunion de la Conférence des Parties, les projets d</w:t>
      </w:r>
      <w:r w:rsidR="0059442D">
        <w:t>’</w:t>
      </w:r>
      <w:r w:rsidR="00BB262E" w:rsidRPr="00784F6A">
        <w:t>éléments d</w:t>
      </w:r>
      <w:r w:rsidR="0059442D">
        <w:t>’</w:t>
      </w:r>
      <w:r w:rsidR="00BB262E" w:rsidRPr="00784F6A">
        <w:t>orientation supplémentaires élaborés en réponse à sa recommandation</w:t>
      </w:r>
      <w:r w:rsidR="00436638" w:rsidRPr="00784F6A">
        <w:t> </w:t>
      </w:r>
      <w:hyperlink r:id="rId17" w:history="1">
        <w:r w:rsidR="00BB262E" w:rsidRPr="00784F6A">
          <w:rPr>
            <w:color w:val="0563C1" w:themeColor="hyperlink"/>
            <w:u w:val="single"/>
          </w:rPr>
          <w:t>4/4</w:t>
        </w:r>
      </w:hyperlink>
      <w:r w:rsidR="00BB262E" w:rsidRPr="00784F6A">
        <w:t>, tels qu</w:t>
      </w:r>
      <w:r w:rsidR="0059442D">
        <w:t>’</w:t>
      </w:r>
      <w:r w:rsidR="00BB262E" w:rsidRPr="00784F6A">
        <w:t>ils figurent dans l</w:t>
      </w:r>
      <w:r w:rsidR="0059442D">
        <w:t>’</w:t>
      </w:r>
      <w:r w:rsidR="00BB262E" w:rsidRPr="00784F6A">
        <w:t xml:space="preserve">annexe du document </w:t>
      </w:r>
      <w:hyperlink r:id="rId18" w:history="1">
        <w:r w:rsidR="00BB262E" w:rsidRPr="00784F6A">
          <w:rPr>
            <w:color w:val="0563C1" w:themeColor="hyperlink"/>
            <w:u w:val="single"/>
          </w:rPr>
          <w:t>CBD/COP/16/6/Rev.1</w:t>
        </w:r>
      </w:hyperlink>
      <w:r w:rsidRPr="00784F6A">
        <w:rPr>
          <w:color w:val="000000" w:themeColor="text1"/>
          <w:vertAlign w:val="superscript"/>
        </w:rPr>
        <w:footnoteReference w:id="13"/>
      </w:r>
      <w:r w:rsidR="00202E35" w:rsidRPr="00784F6A">
        <w:rPr>
          <w:color w:val="0563C1" w:themeColor="hyperlink"/>
        </w:rPr>
        <w:t> </w:t>
      </w:r>
      <w:r w:rsidR="00BB262E" w:rsidRPr="00784F6A">
        <w:rPr>
          <w:color w:val="000000" w:themeColor="text1"/>
        </w:rPr>
        <w:t>;</w:t>
      </w:r>
    </w:p>
    <w:p w14:paraId="40383199" w14:textId="77777777" w:rsidR="00B14B10" w:rsidRPr="00784F6A" w:rsidRDefault="00B14B10" w:rsidP="00B14B10">
      <w:pPr>
        <w:tabs>
          <w:tab w:val="left" w:pos="2835"/>
          <w:tab w:val="left" w:pos="3402"/>
        </w:tabs>
        <w:spacing w:after="120"/>
        <w:ind w:left="567" w:firstLine="567"/>
      </w:pPr>
      <w:r w:rsidRPr="00784F6A">
        <w:t>29.</w:t>
      </w:r>
      <w:r w:rsidRPr="00784F6A">
        <w:tab/>
      </w:r>
      <w:r w:rsidR="00CE2504" w:rsidRPr="00784F6A">
        <w:t>Rappelle les paragraphes</w:t>
      </w:r>
      <w:r w:rsidR="00436638" w:rsidRPr="00784F6A">
        <w:t> </w:t>
      </w:r>
      <w:r w:rsidR="00CE2504" w:rsidRPr="00784F6A">
        <w:t xml:space="preserve">2, 3 et 4 de sa décision </w:t>
      </w:r>
      <w:hyperlink r:id="rId19" w:history="1">
        <w:r w:rsidR="00CE2504" w:rsidRPr="00784F6A">
          <w:rPr>
            <w:rStyle w:val="Lienhypertexte"/>
          </w:rPr>
          <w:t>XII/30</w:t>
        </w:r>
      </w:hyperlink>
      <w:r w:rsidR="00CE2504" w:rsidRPr="00784F6A">
        <w:t xml:space="preserve"> du 17</w:t>
      </w:r>
      <w:r w:rsidR="00436638" w:rsidRPr="00784F6A">
        <w:t> </w:t>
      </w:r>
      <w:r w:rsidR="00CE2504" w:rsidRPr="00784F6A">
        <w:t>octobre</w:t>
      </w:r>
      <w:r w:rsidR="00436638" w:rsidRPr="00784F6A">
        <w:t> </w:t>
      </w:r>
      <w:r w:rsidR="00CE2504" w:rsidRPr="00784F6A">
        <w:t>2014, et demande à la Secrétaire exécutive de continuer à assurer la liaison avec les différentes conventions relatives à la biodiversité et le Fonds pour l</w:t>
      </w:r>
      <w:r w:rsidR="0059442D">
        <w:t>’</w:t>
      </w:r>
      <w:r w:rsidR="00CE2504" w:rsidRPr="00784F6A">
        <w:t>environnement mondial afin d</w:t>
      </w:r>
      <w:r w:rsidR="0059442D">
        <w:t>’</w:t>
      </w:r>
      <w:r w:rsidR="00CE2504" w:rsidRPr="00784F6A">
        <w:t>étudier les possibilités d</w:t>
      </w:r>
      <w:r w:rsidR="0059442D">
        <w:t>’</w:t>
      </w:r>
      <w:r w:rsidR="00CE2504" w:rsidRPr="00784F6A">
        <w:t>accroître l</w:t>
      </w:r>
      <w:r w:rsidR="0059442D">
        <w:t>’</w:t>
      </w:r>
      <w:r w:rsidR="00CE2504" w:rsidRPr="00784F6A">
        <w:t>appui du Fonds pour les pays en ce qui concerne les activités pertinentes pour la mise en œuvre des différentes conventions relatives à la biodiversité</w:t>
      </w:r>
      <w:r w:rsidR="00202E35" w:rsidRPr="00784F6A">
        <w:t> </w:t>
      </w:r>
      <w:r w:rsidRPr="00784F6A">
        <w:t>;</w:t>
      </w:r>
    </w:p>
    <w:p w14:paraId="46D38942" w14:textId="77777777" w:rsidR="00B14B10" w:rsidRPr="00784F6A" w:rsidRDefault="00B14B10" w:rsidP="00B14B10">
      <w:pPr>
        <w:tabs>
          <w:tab w:val="left" w:pos="2835"/>
          <w:tab w:val="left" w:pos="3402"/>
        </w:tabs>
        <w:spacing w:after="120"/>
        <w:ind w:left="567" w:firstLine="567"/>
      </w:pPr>
      <w:r w:rsidRPr="00784F6A">
        <w:t>30.</w:t>
      </w:r>
      <w:r w:rsidRPr="00784F6A">
        <w:tab/>
      </w:r>
      <w:r w:rsidR="00726C1C" w:rsidRPr="00784F6A">
        <w:rPr>
          <w:i/>
          <w:iCs/>
        </w:rPr>
        <w:t xml:space="preserve">Demande </w:t>
      </w:r>
      <w:r w:rsidR="00726C1C" w:rsidRPr="00784F6A">
        <w:t>au Fonds pour l</w:t>
      </w:r>
      <w:r w:rsidR="0059442D">
        <w:t>’</w:t>
      </w:r>
      <w:r w:rsidR="00726C1C" w:rsidRPr="00784F6A">
        <w:t>environnement mondial de continuer à appuyer les partenariats avec les peuples autochtones et communautés locales, les femmes et les jeunes, et de reconnaître et promouvoir leurs contributions à la mise en œuvre des cibles du Cadre</w:t>
      </w:r>
      <w:r w:rsidR="00202E35" w:rsidRPr="00784F6A">
        <w:t> </w:t>
      </w:r>
      <w:r w:rsidRPr="00784F6A">
        <w:t>;</w:t>
      </w:r>
    </w:p>
    <w:p w14:paraId="3C45782D" w14:textId="77777777" w:rsidR="00B14B10" w:rsidRPr="00784F6A" w:rsidRDefault="00B14B10" w:rsidP="00B14B10">
      <w:pPr>
        <w:tabs>
          <w:tab w:val="left" w:pos="2835"/>
          <w:tab w:val="left" w:pos="3402"/>
        </w:tabs>
        <w:spacing w:after="120"/>
        <w:ind w:left="567" w:firstLine="567"/>
      </w:pPr>
      <w:r w:rsidRPr="00784F6A">
        <w:t>31.</w:t>
      </w:r>
      <w:r w:rsidRPr="00784F6A">
        <w:tab/>
      </w:r>
      <w:r w:rsidR="00726C1C" w:rsidRPr="00784F6A">
        <w:rPr>
          <w:i/>
          <w:iCs/>
        </w:rPr>
        <w:t xml:space="preserve">Demande </w:t>
      </w:r>
      <w:r w:rsidR="00726C1C" w:rsidRPr="00784F6A">
        <w:t>également au Fonds pour l</w:t>
      </w:r>
      <w:r w:rsidR="0059442D">
        <w:t>’</w:t>
      </w:r>
      <w:r w:rsidR="00726C1C" w:rsidRPr="00784F6A">
        <w:t>environnement mondial d</w:t>
      </w:r>
      <w:r w:rsidR="0059442D">
        <w:t>’</w:t>
      </w:r>
      <w:r w:rsidR="00726C1C" w:rsidRPr="00784F6A">
        <w:t>informer la Conférence des Parties de la manière dont il prend en compte les lignes directrices facultatives sur les garanties dans les mécanismes de financement de la diversité biologique élaborées dans le cadre de la Convention, rappelant à cet égard le paragraphe</w:t>
      </w:r>
      <w:r w:rsidR="00436638" w:rsidRPr="00784F6A">
        <w:t> </w:t>
      </w:r>
      <w:r w:rsidR="00726C1C" w:rsidRPr="00784F6A">
        <w:t xml:space="preserve">6 de la décision </w:t>
      </w:r>
      <w:hyperlink r:id="rId20" w:history="1">
        <w:r w:rsidR="00726C1C" w:rsidRPr="00784F6A">
          <w:rPr>
            <w:rStyle w:val="Lienhypertexte"/>
          </w:rPr>
          <w:t>14/15</w:t>
        </w:r>
      </w:hyperlink>
      <w:r w:rsidR="00726C1C" w:rsidRPr="00784F6A">
        <w:t xml:space="preserve"> du 29</w:t>
      </w:r>
      <w:r w:rsidR="00436638" w:rsidRPr="00784F6A">
        <w:t> </w:t>
      </w:r>
      <w:r w:rsidR="00726C1C" w:rsidRPr="00784F6A">
        <w:t>novembre</w:t>
      </w:r>
      <w:r w:rsidR="00436638" w:rsidRPr="00784F6A">
        <w:t> </w:t>
      </w:r>
      <w:r w:rsidR="00726C1C" w:rsidRPr="00784F6A">
        <w:t>2018</w:t>
      </w:r>
      <w:r w:rsidR="00202E35" w:rsidRPr="00784F6A">
        <w:rPr>
          <w:i/>
          <w:iCs/>
        </w:rPr>
        <w:t> </w:t>
      </w:r>
      <w:r w:rsidRPr="00784F6A">
        <w:t>;</w:t>
      </w:r>
    </w:p>
    <w:p w14:paraId="50202FF6" w14:textId="77777777" w:rsidR="00B14B10" w:rsidRPr="00784F6A" w:rsidRDefault="00B14B10" w:rsidP="00B14B10">
      <w:pPr>
        <w:tabs>
          <w:tab w:val="left" w:pos="2835"/>
          <w:tab w:val="left" w:pos="3402"/>
        </w:tabs>
        <w:spacing w:after="120"/>
        <w:ind w:left="567" w:firstLine="567"/>
      </w:pPr>
      <w:r w:rsidRPr="00784F6A">
        <w:t>32.</w:t>
      </w:r>
      <w:r w:rsidRPr="00784F6A">
        <w:tab/>
      </w:r>
      <w:r w:rsidR="00726C1C" w:rsidRPr="00784F6A">
        <w:rPr>
          <w:i/>
          <w:iCs/>
        </w:rPr>
        <w:t xml:space="preserve">Demande en outre </w:t>
      </w:r>
      <w:r w:rsidR="00726C1C" w:rsidRPr="00784F6A">
        <w:t>au Fonds pour l</w:t>
      </w:r>
      <w:r w:rsidR="0059442D">
        <w:t>’</w:t>
      </w:r>
      <w:r w:rsidR="00726C1C" w:rsidRPr="00784F6A">
        <w:t>environnement mondial d</w:t>
      </w:r>
      <w:r w:rsidR="0059442D">
        <w:t>’</w:t>
      </w:r>
      <w:r w:rsidR="00726C1C" w:rsidRPr="00784F6A">
        <w:t>étudier les moyens d</w:t>
      </w:r>
      <w:r w:rsidR="0059442D">
        <w:t>’</w:t>
      </w:r>
      <w:r w:rsidR="00726C1C" w:rsidRPr="00784F6A">
        <w:t>améliorer, de faciliter l</w:t>
      </w:r>
      <w:r w:rsidR="0059442D">
        <w:t>’</w:t>
      </w:r>
      <w:r w:rsidR="00726C1C" w:rsidRPr="00784F6A">
        <w:t>accès et d</w:t>
      </w:r>
      <w:r w:rsidR="0059442D">
        <w:t>’</w:t>
      </w:r>
      <w:r w:rsidR="00726C1C" w:rsidRPr="00784F6A">
        <w:t>accroître plus avant le financement direct en faveur des peuples autochtones et communautés locales, des femmes et des jeunes, en veillant à ce que ces ressources appuient leurs droits et leurs systèmes de connaissances</w:t>
      </w:r>
      <w:r w:rsidR="00202E35" w:rsidRPr="00784F6A">
        <w:t> </w:t>
      </w:r>
      <w:r w:rsidRPr="00784F6A">
        <w:t>;</w:t>
      </w:r>
    </w:p>
    <w:p w14:paraId="7DDCD37E" w14:textId="77777777" w:rsidR="00B14B10" w:rsidRPr="00784F6A" w:rsidRDefault="00B14B10" w:rsidP="00B14B10">
      <w:pPr>
        <w:keepNext/>
        <w:keepLines/>
        <w:tabs>
          <w:tab w:val="left" w:pos="2835"/>
          <w:tab w:val="left" w:pos="3402"/>
          <w:tab w:val="left" w:pos="3969"/>
        </w:tabs>
        <w:spacing w:before="120" w:after="120"/>
        <w:ind w:left="567"/>
        <w:rPr>
          <w:b/>
          <w:sz w:val="24"/>
        </w:rPr>
      </w:pPr>
      <w:r w:rsidRPr="00784F6A">
        <w:rPr>
          <w:b/>
          <w:sz w:val="24"/>
        </w:rPr>
        <w:t>VI</w:t>
      </w:r>
      <w:r w:rsidRPr="00784F6A">
        <w:rPr>
          <w:b/>
          <w:sz w:val="24"/>
        </w:rPr>
        <w:br/>
      </w:r>
      <w:r w:rsidR="00726C1C" w:rsidRPr="00784F6A">
        <w:rPr>
          <w:b/>
          <w:sz w:val="24"/>
        </w:rPr>
        <w:t>Examen de l</w:t>
      </w:r>
      <w:r w:rsidR="0059442D">
        <w:rPr>
          <w:b/>
          <w:sz w:val="24"/>
        </w:rPr>
        <w:t>’</w:t>
      </w:r>
      <w:r w:rsidR="00726C1C" w:rsidRPr="00784F6A">
        <w:rPr>
          <w:b/>
          <w:sz w:val="24"/>
        </w:rPr>
        <w:t xml:space="preserve">efficacité du mécanisme </w:t>
      </w:r>
      <w:r w:rsidR="002F29BF" w:rsidRPr="00784F6A">
        <w:rPr>
          <w:b/>
          <w:sz w:val="24"/>
        </w:rPr>
        <w:t>de financement</w:t>
      </w:r>
    </w:p>
    <w:p w14:paraId="1BAA94E4" w14:textId="77777777" w:rsidR="00B14B10" w:rsidRPr="00784F6A" w:rsidRDefault="00B14B10" w:rsidP="00B14B10">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33.</w:t>
      </w:r>
      <w:r w:rsidRPr="00784F6A">
        <w:rPr>
          <w:rFonts w:asciiTheme="majorBidi" w:eastAsiaTheme="minorHAnsi" w:hAnsiTheme="majorBidi" w:cstheme="majorBidi"/>
          <w:i/>
          <w:iCs/>
        </w:rPr>
        <w:tab/>
      </w:r>
      <w:r w:rsidR="00726C1C" w:rsidRPr="00784F6A">
        <w:rPr>
          <w:rFonts w:asciiTheme="majorBidi" w:eastAsiaTheme="minorHAnsi" w:hAnsiTheme="majorBidi" w:cstheme="majorBidi"/>
          <w:i/>
          <w:iCs/>
        </w:rPr>
        <w:t xml:space="preserve">Demande </w:t>
      </w:r>
      <w:r w:rsidR="00726C1C" w:rsidRPr="00784F6A">
        <w:rPr>
          <w:rFonts w:asciiTheme="majorBidi" w:eastAsiaTheme="minorHAnsi" w:hAnsiTheme="majorBidi" w:cstheme="majorBidi"/>
        </w:rPr>
        <w:t>au Fonds pour l</w:t>
      </w:r>
      <w:r w:rsidR="0059442D">
        <w:rPr>
          <w:rFonts w:asciiTheme="majorBidi" w:eastAsiaTheme="minorHAnsi" w:hAnsiTheme="majorBidi" w:cstheme="majorBidi"/>
        </w:rPr>
        <w:t>’</w:t>
      </w:r>
      <w:r w:rsidR="00726C1C" w:rsidRPr="00784F6A">
        <w:rPr>
          <w:rFonts w:asciiTheme="majorBidi" w:eastAsiaTheme="minorHAnsi" w:hAnsiTheme="majorBidi" w:cstheme="majorBidi"/>
        </w:rPr>
        <w:t>environnement mondial de poursuivre ses efforts pour mobiliser des ressources à l</w:t>
      </w:r>
      <w:r w:rsidR="0059442D">
        <w:rPr>
          <w:rFonts w:asciiTheme="majorBidi" w:eastAsiaTheme="minorHAnsi" w:hAnsiTheme="majorBidi" w:cstheme="majorBidi"/>
        </w:rPr>
        <w:t>’</w:t>
      </w:r>
      <w:r w:rsidR="00726C1C" w:rsidRPr="00784F6A">
        <w:rPr>
          <w:rFonts w:asciiTheme="majorBidi" w:eastAsiaTheme="minorHAnsi" w:hAnsiTheme="majorBidi" w:cstheme="majorBidi"/>
        </w:rPr>
        <w:t>appui de la mise en œuvre de la Convention et de ses Protocoles et, en particulier, du Cadre, notamment en mobilisant des contributions volontaires des pays développés Parties, d</w:t>
      </w:r>
      <w:r w:rsidR="0059442D">
        <w:rPr>
          <w:rFonts w:asciiTheme="majorBidi" w:eastAsiaTheme="minorHAnsi" w:hAnsiTheme="majorBidi" w:cstheme="majorBidi"/>
        </w:rPr>
        <w:t>’</w:t>
      </w:r>
      <w:r w:rsidR="00726C1C" w:rsidRPr="00784F6A">
        <w:rPr>
          <w:rFonts w:asciiTheme="majorBidi" w:eastAsiaTheme="minorHAnsi" w:hAnsiTheme="majorBidi" w:cstheme="majorBidi"/>
        </w:rPr>
        <w:t>autres Parties qui assument volontairement les obligations des pays développés Parties, d</w:t>
      </w:r>
      <w:r w:rsidR="0059442D">
        <w:rPr>
          <w:rFonts w:asciiTheme="majorBidi" w:eastAsiaTheme="minorHAnsi" w:hAnsiTheme="majorBidi" w:cstheme="majorBidi"/>
        </w:rPr>
        <w:t>’</w:t>
      </w:r>
      <w:r w:rsidR="00726C1C" w:rsidRPr="00784F6A">
        <w:rPr>
          <w:rFonts w:asciiTheme="majorBidi" w:eastAsiaTheme="minorHAnsi" w:hAnsiTheme="majorBidi" w:cstheme="majorBidi"/>
        </w:rPr>
        <w:t>autres pays et d</w:t>
      </w:r>
      <w:r w:rsidR="0059442D">
        <w:rPr>
          <w:rFonts w:asciiTheme="majorBidi" w:eastAsiaTheme="minorHAnsi" w:hAnsiTheme="majorBidi" w:cstheme="majorBidi"/>
        </w:rPr>
        <w:t>’</w:t>
      </w:r>
      <w:r w:rsidR="00726C1C" w:rsidRPr="00784F6A">
        <w:rPr>
          <w:rFonts w:asciiTheme="majorBidi" w:eastAsiaTheme="minorHAnsi" w:hAnsiTheme="majorBidi" w:cstheme="majorBidi"/>
        </w:rPr>
        <w:t>autres sources, telles que les banques multilatérales de développement, le secteur privé et les organisations philanthropiques, ainsi qu</w:t>
      </w:r>
      <w:r w:rsidR="0059442D">
        <w:rPr>
          <w:rFonts w:asciiTheme="majorBidi" w:eastAsiaTheme="minorHAnsi" w:hAnsiTheme="majorBidi" w:cstheme="majorBidi"/>
        </w:rPr>
        <w:t>’</w:t>
      </w:r>
      <w:r w:rsidR="00726C1C" w:rsidRPr="00784F6A">
        <w:rPr>
          <w:rFonts w:asciiTheme="majorBidi" w:eastAsiaTheme="minorHAnsi" w:hAnsiTheme="majorBidi" w:cstheme="majorBidi"/>
        </w:rPr>
        <w:t>au moyen d</w:t>
      </w:r>
      <w:r w:rsidR="0059442D">
        <w:rPr>
          <w:rFonts w:asciiTheme="majorBidi" w:eastAsiaTheme="minorHAnsi" w:hAnsiTheme="majorBidi" w:cstheme="majorBidi"/>
        </w:rPr>
        <w:t>’</w:t>
      </w:r>
      <w:r w:rsidR="00726C1C" w:rsidRPr="00784F6A">
        <w:rPr>
          <w:rFonts w:asciiTheme="majorBidi" w:eastAsiaTheme="minorHAnsi" w:hAnsiTheme="majorBidi" w:cstheme="majorBidi"/>
        </w:rPr>
        <w:t xml:space="preserve">instruments de financement durable, </w:t>
      </w:r>
      <w:r w:rsidR="00726C1C" w:rsidRPr="00784F6A">
        <w:rPr>
          <w:rFonts w:asciiTheme="majorBidi" w:eastAsiaTheme="minorHAnsi" w:hAnsiTheme="majorBidi" w:cstheme="majorBidi"/>
        </w:rPr>
        <w:lastRenderedPageBreak/>
        <w:t>afin d</w:t>
      </w:r>
      <w:r w:rsidR="0059442D">
        <w:rPr>
          <w:rFonts w:asciiTheme="majorBidi" w:eastAsiaTheme="minorHAnsi" w:hAnsiTheme="majorBidi" w:cstheme="majorBidi"/>
        </w:rPr>
        <w:t>’</w:t>
      </w:r>
      <w:r w:rsidR="00726C1C" w:rsidRPr="00784F6A">
        <w:rPr>
          <w:rFonts w:asciiTheme="majorBidi" w:eastAsiaTheme="minorHAnsi" w:hAnsiTheme="majorBidi" w:cstheme="majorBidi"/>
        </w:rPr>
        <w:t>améliorer la prévisibilité, l</w:t>
      </w:r>
      <w:r w:rsidR="0059442D">
        <w:rPr>
          <w:rFonts w:asciiTheme="majorBidi" w:eastAsiaTheme="minorHAnsi" w:hAnsiTheme="majorBidi" w:cstheme="majorBidi"/>
        </w:rPr>
        <w:t>’</w:t>
      </w:r>
      <w:r w:rsidR="00726C1C" w:rsidRPr="00784F6A">
        <w:rPr>
          <w:rFonts w:asciiTheme="majorBidi" w:eastAsiaTheme="minorHAnsi" w:hAnsiTheme="majorBidi" w:cstheme="majorBidi"/>
        </w:rPr>
        <w:t>adéquation et la rapidité des flux de fonds et de contribuer à combler le déficit de financement en matière de diversité biologique</w:t>
      </w:r>
      <w:r w:rsidR="00202E35" w:rsidRPr="00784F6A">
        <w:rPr>
          <w:rFonts w:asciiTheme="majorBidi" w:eastAsiaTheme="minorHAnsi" w:hAnsiTheme="majorBidi" w:cstheme="majorBidi"/>
          <w:i/>
          <w:iCs/>
        </w:rPr>
        <w:t> </w:t>
      </w:r>
      <w:r w:rsidRPr="00784F6A">
        <w:rPr>
          <w:rFonts w:asciiTheme="majorBidi" w:eastAsiaTheme="minorHAnsi" w:hAnsiTheme="majorBidi" w:cstheme="majorBidi"/>
        </w:rPr>
        <w:t>;</w:t>
      </w:r>
    </w:p>
    <w:p w14:paraId="7A1EBBED" w14:textId="77777777" w:rsidR="00B14B10" w:rsidRPr="00784F6A" w:rsidRDefault="00B14B10" w:rsidP="00B14B10">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34</w:t>
      </w:r>
      <w:r w:rsidRPr="00784F6A">
        <w:rPr>
          <w:rFonts w:asciiTheme="majorBidi" w:eastAsiaTheme="minorHAnsi" w:hAnsiTheme="majorBidi" w:cstheme="majorBidi"/>
          <w:i/>
          <w:iCs/>
        </w:rPr>
        <w:t>.</w:t>
      </w:r>
      <w:r w:rsidRPr="00784F6A">
        <w:rPr>
          <w:rFonts w:asciiTheme="majorBidi" w:eastAsiaTheme="minorHAnsi" w:hAnsiTheme="majorBidi" w:cstheme="majorBidi"/>
          <w:i/>
          <w:iCs/>
        </w:rPr>
        <w:tab/>
      </w:r>
      <w:r w:rsidR="00726C1C" w:rsidRPr="00784F6A">
        <w:rPr>
          <w:rFonts w:asciiTheme="majorBidi" w:eastAsiaTheme="minorHAnsi" w:hAnsiTheme="majorBidi" w:cstheme="majorBidi"/>
          <w:i/>
          <w:iCs/>
        </w:rPr>
        <w:t xml:space="preserve">Demande également </w:t>
      </w:r>
      <w:r w:rsidR="00726C1C" w:rsidRPr="00784F6A">
        <w:rPr>
          <w:rFonts w:asciiTheme="majorBidi" w:eastAsiaTheme="minorHAnsi" w:hAnsiTheme="majorBidi" w:cstheme="majorBidi"/>
        </w:rPr>
        <w:t>au Fonds pour l</w:t>
      </w:r>
      <w:r w:rsidR="0059442D">
        <w:rPr>
          <w:rFonts w:asciiTheme="majorBidi" w:eastAsiaTheme="minorHAnsi" w:hAnsiTheme="majorBidi" w:cstheme="majorBidi"/>
        </w:rPr>
        <w:t>’</w:t>
      </w:r>
      <w:r w:rsidR="00726C1C" w:rsidRPr="00784F6A">
        <w:rPr>
          <w:rFonts w:asciiTheme="majorBidi" w:eastAsiaTheme="minorHAnsi" w:hAnsiTheme="majorBidi" w:cstheme="majorBidi"/>
        </w:rPr>
        <w:t>environnement Mondial</w:t>
      </w:r>
      <w:r w:rsidR="00436638" w:rsidRPr="00784F6A">
        <w:rPr>
          <w:rFonts w:asciiTheme="majorBidi" w:eastAsiaTheme="minorHAnsi" w:hAnsiTheme="majorBidi" w:cstheme="majorBidi"/>
        </w:rPr>
        <w:t> </w:t>
      </w:r>
      <w:r w:rsidRPr="00784F6A">
        <w:rPr>
          <w:rFonts w:asciiTheme="majorBidi" w:eastAsiaTheme="minorHAnsi" w:hAnsiTheme="majorBidi" w:cstheme="majorBidi"/>
        </w:rPr>
        <w:t>:</w:t>
      </w:r>
    </w:p>
    <w:p w14:paraId="081C6FC8" w14:textId="6B4167B5" w:rsidR="00B14B10" w:rsidRPr="00784F6A" w:rsidRDefault="00B14B10" w:rsidP="00B14B10">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a)</w:t>
      </w:r>
      <w:r w:rsidRPr="00784F6A">
        <w:rPr>
          <w:rFonts w:asciiTheme="majorBidi" w:eastAsiaTheme="minorHAnsi" w:hAnsiTheme="majorBidi" w:cstheme="majorBidi"/>
        </w:rPr>
        <w:tab/>
      </w:r>
      <w:r w:rsidR="00726C1C" w:rsidRPr="00784F6A">
        <w:rPr>
          <w:rFonts w:asciiTheme="majorBidi" w:eastAsiaTheme="minorHAnsi" w:hAnsiTheme="majorBidi" w:cstheme="majorBidi"/>
        </w:rPr>
        <w:t>D</w:t>
      </w:r>
      <w:r w:rsidR="0059442D">
        <w:rPr>
          <w:rFonts w:asciiTheme="majorBidi" w:eastAsiaTheme="minorHAnsi" w:hAnsiTheme="majorBidi" w:cstheme="majorBidi"/>
        </w:rPr>
        <w:t>’</w:t>
      </w:r>
      <w:r w:rsidR="00726C1C" w:rsidRPr="00784F6A">
        <w:rPr>
          <w:rFonts w:asciiTheme="majorBidi" w:eastAsiaTheme="minorHAnsi" w:hAnsiTheme="majorBidi" w:cstheme="majorBidi"/>
        </w:rPr>
        <w:t xml:space="preserve">accroître encore la flexibilité des cycles de projets pour </w:t>
      </w:r>
      <w:r w:rsidR="00656D3B" w:rsidRPr="00784F6A">
        <w:rPr>
          <w:rFonts w:asciiTheme="majorBidi" w:eastAsiaTheme="minorHAnsi" w:hAnsiTheme="majorBidi" w:cstheme="majorBidi"/>
        </w:rPr>
        <w:t xml:space="preserve">toutes </w:t>
      </w:r>
      <w:r w:rsidR="00726C1C" w:rsidRPr="00784F6A">
        <w:rPr>
          <w:rFonts w:asciiTheme="majorBidi" w:eastAsiaTheme="minorHAnsi" w:hAnsiTheme="majorBidi" w:cstheme="majorBidi"/>
        </w:rPr>
        <w:t>les Parties</w:t>
      </w:r>
      <w:r w:rsidR="00656D3B" w:rsidRPr="00784F6A">
        <w:rPr>
          <w:rFonts w:asciiTheme="majorBidi" w:eastAsiaTheme="minorHAnsi" w:hAnsiTheme="majorBidi" w:cstheme="majorBidi"/>
        </w:rPr>
        <w:t xml:space="preserve"> admissibles</w:t>
      </w:r>
      <w:r w:rsidR="00726C1C" w:rsidRPr="00784F6A">
        <w:rPr>
          <w:rFonts w:asciiTheme="majorBidi" w:eastAsiaTheme="minorHAnsi" w:hAnsiTheme="majorBidi" w:cstheme="majorBidi"/>
        </w:rPr>
        <w:t xml:space="preserve">, en particulier les pays les moins avancés et les petits États insulaires en développement, </w:t>
      </w:r>
      <w:r w:rsidR="00656D3B" w:rsidRPr="00784F6A">
        <w:rPr>
          <w:rFonts w:asciiTheme="majorBidi" w:eastAsiaTheme="minorHAnsi" w:hAnsiTheme="majorBidi" w:cstheme="majorBidi"/>
        </w:rPr>
        <w:t xml:space="preserve">en prenant également en considération </w:t>
      </w:r>
      <w:r w:rsidR="00726C1C" w:rsidRPr="00784F6A">
        <w:rPr>
          <w:rFonts w:asciiTheme="majorBidi" w:eastAsiaTheme="minorHAnsi" w:hAnsiTheme="majorBidi" w:cstheme="majorBidi"/>
        </w:rPr>
        <w:t>les pays les plus vulnérables du point de vue de l</w:t>
      </w:r>
      <w:r w:rsidR="0059442D">
        <w:rPr>
          <w:rFonts w:asciiTheme="majorBidi" w:eastAsiaTheme="minorHAnsi" w:hAnsiTheme="majorBidi" w:cstheme="majorBidi"/>
        </w:rPr>
        <w:t>’</w:t>
      </w:r>
      <w:r w:rsidR="00726C1C" w:rsidRPr="00784F6A">
        <w:rPr>
          <w:rFonts w:asciiTheme="majorBidi" w:eastAsiaTheme="minorHAnsi" w:hAnsiTheme="majorBidi" w:cstheme="majorBidi"/>
        </w:rPr>
        <w:t>environnement dans le contexte des dispositions du paragraphe</w:t>
      </w:r>
      <w:r w:rsidR="00436638" w:rsidRPr="00784F6A">
        <w:rPr>
          <w:rFonts w:asciiTheme="majorBidi" w:eastAsiaTheme="minorHAnsi" w:hAnsiTheme="majorBidi" w:cstheme="majorBidi"/>
        </w:rPr>
        <w:t> </w:t>
      </w:r>
      <w:r w:rsidR="00726C1C" w:rsidRPr="00784F6A">
        <w:rPr>
          <w:rFonts w:asciiTheme="majorBidi" w:eastAsiaTheme="minorHAnsi" w:hAnsiTheme="majorBidi" w:cstheme="majorBidi"/>
        </w:rPr>
        <w:t>7 de l</w:t>
      </w:r>
      <w:r w:rsidR="0059442D">
        <w:rPr>
          <w:rFonts w:asciiTheme="majorBidi" w:eastAsiaTheme="minorHAnsi" w:hAnsiTheme="majorBidi" w:cstheme="majorBidi"/>
        </w:rPr>
        <w:t>’</w:t>
      </w:r>
      <w:r w:rsidR="00726C1C" w:rsidRPr="00784F6A">
        <w:rPr>
          <w:rFonts w:asciiTheme="majorBidi" w:eastAsiaTheme="minorHAnsi" w:hAnsiTheme="majorBidi" w:cstheme="majorBidi"/>
        </w:rPr>
        <w:t>article</w:t>
      </w:r>
      <w:r w:rsidR="00436638" w:rsidRPr="00784F6A">
        <w:rPr>
          <w:rFonts w:asciiTheme="majorBidi" w:eastAsiaTheme="minorHAnsi" w:hAnsiTheme="majorBidi" w:cstheme="majorBidi"/>
        </w:rPr>
        <w:t> </w:t>
      </w:r>
      <w:hyperlink r:id="rId21" w:history="1">
        <w:r w:rsidR="00726C1C" w:rsidRPr="00F35B4E">
          <w:rPr>
            <w:rStyle w:val="Lienhypertexte"/>
            <w:rFonts w:asciiTheme="majorBidi" w:eastAsiaTheme="minorHAnsi" w:hAnsiTheme="majorBidi" w:cstheme="majorBidi"/>
          </w:rPr>
          <w:t>20</w:t>
        </w:r>
      </w:hyperlink>
      <w:r w:rsidR="00726C1C" w:rsidRPr="00784F6A">
        <w:rPr>
          <w:rFonts w:asciiTheme="majorBidi" w:eastAsiaTheme="minorHAnsi" w:hAnsiTheme="majorBidi" w:cstheme="majorBidi"/>
        </w:rPr>
        <w:t xml:space="preserve"> de la Convention</w:t>
      </w:r>
      <w:r w:rsidR="00202E35" w:rsidRPr="00784F6A">
        <w:rPr>
          <w:rFonts w:asciiTheme="majorBidi" w:eastAsiaTheme="minorHAnsi" w:hAnsiTheme="majorBidi" w:cstheme="majorBidi"/>
        </w:rPr>
        <w:t> </w:t>
      </w:r>
      <w:r w:rsidR="00726C1C" w:rsidRPr="00784F6A">
        <w:rPr>
          <w:rFonts w:asciiTheme="majorBidi" w:eastAsiaTheme="minorHAnsi" w:hAnsiTheme="majorBidi" w:cstheme="majorBidi"/>
        </w:rPr>
        <w:t>;</w:t>
      </w:r>
    </w:p>
    <w:p w14:paraId="45F908B9" w14:textId="77777777" w:rsidR="00726C1C" w:rsidRPr="00784F6A" w:rsidRDefault="00B14B10" w:rsidP="00726C1C">
      <w:pPr>
        <w:tabs>
          <w:tab w:val="left" w:pos="2835"/>
          <w:tab w:val="left" w:pos="3402"/>
        </w:tabs>
        <w:spacing w:after="120"/>
        <w:ind w:left="567" w:firstLine="567"/>
        <w:rPr>
          <w:rFonts w:asciiTheme="majorBidi" w:hAnsiTheme="majorBidi" w:cstheme="majorBidi"/>
        </w:rPr>
      </w:pPr>
      <w:r w:rsidRPr="00784F6A">
        <w:rPr>
          <w:rFonts w:asciiTheme="majorBidi" w:hAnsiTheme="majorBidi" w:cstheme="majorBidi"/>
        </w:rPr>
        <w:t>b)</w:t>
      </w:r>
      <w:r w:rsidRPr="00784F6A">
        <w:rPr>
          <w:rFonts w:asciiTheme="majorBidi" w:hAnsiTheme="majorBidi" w:cstheme="majorBidi"/>
        </w:rPr>
        <w:tab/>
      </w:r>
      <w:r w:rsidR="00726C1C" w:rsidRPr="00784F6A">
        <w:rPr>
          <w:rFonts w:asciiTheme="majorBidi" w:hAnsiTheme="majorBidi" w:cstheme="majorBidi"/>
        </w:rPr>
        <w:t>D</w:t>
      </w:r>
      <w:r w:rsidR="0059442D">
        <w:rPr>
          <w:rFonts w:asciiTheme="majorBidi" w:hAnsiTheme="majorBidi" w:cstheme="majorBidi"/>
        </w:rPr>
        <w:t>’</w:t>
      </w:r>
      <w:r w:rsidR="00726C1C" w:rsidRPr="00784F6A">
        <w:rPr>
          <w:rFonts w:asciiTheme="majorBidi" w:hAnsiTheme="majorBidi" w:cstheme="majorBidi"/>
        </w:rPr>
        <w:t>envisager d</w:t>
      </w:r>
      <w:r w:rsidR="0059442D">
        <w:rPr>
          <w:rFonts w:asciiTheme="majorBidi" w:hAnsiTheme="majorBidi" w:cstheme="majorBidi"/>
        </w:rPr>
        <w:t>’</w:t>
      </w:r>
      <w:r w:rsidR="00726C1C" w:rsidRPr="00784F6A">
        <w:rPr>
          <w:rFonts w:asciiTheme="majorBidi" w:hAnsiTheme="majorBidi" w:cstheme="majorBidi"/>
        </w:rPr>
        <w:t>accroître l</w:t>
      </w:r>
      <w:r w:rsidR="0059442D">
        <w:rPr>
          <w:rFonts w:asciiTheme="majorBidi" w:hAnsiTheme="majorBidi" w:cstheme="majorBidi"/>
        </w:rPr>
        <w:t>’</w:t>
      </w:r>
      <w:r w:rsidR="00726C1C" w:rsidRPr="00784F6A">
        <w:rPr>
          <w:rFonts w:asciiTheme="majorBidi" w:hAnsiTheme="majorBidi" w:cstheme="majorBidi"/>
        </w:rPr>
        <w:t>appui aux approches programmatiques durables et au renforcement des capacités</w:t>
      </w:r>
      <w:r w:rsidR="00202E35" w:rsidRPr="00784F6A">
        <w:rPr>
          <w:rFonts w:asciiTheme="majorBidi" w:hAnsiTheme="majorBidi" w:cstheme="majorBidi"/>
        </w:rPr>
        <w:t> </w:t>
      </w:r>
      <w:r w:rsidR="00726C1C" w:rsidRPr="00784F6A">
        <w:rPr>
          <w:rFonts w:asciiTheme="majorBidi" w:hAnsiTheme="majorBidi" w:cstheme="majorBidi"/>
        </w:rPr>
        <w:t>;</w:t>
      </w:r>
    </w:p>
    <w:p w14:paraId="7DD07C77" w14:textId="77777777" w:rsidR="00726C1C" w:rsidRPr="00784F6A" w:rsidRDefault="00726C1C" w:rsidP="00726C1C">
      <w:pPr>
        <w:tabs>
          <w:tab w:val="left" w:pos="2835"/>
          <w:tab w:val="left" w:pos="3402"/>
        </w:tabs>
        <w:spacing w:after="120"/>
        <w:ind w:left="567" w:firstLine="567"/>
        <w:rPr>
          <w:rFonts w:asciiTheme="majorBidi" w:hAnsiTheme="majorBidi" w:cstheme="majorBidi"/>
        </w:rPr>
      </w:pPr>
      <w:r w:rsidRPr="00784F6A">
        <w:rPr>
          <w:rFonts w:asciiTheme="majorBidi" w:hAnsiTheme="majorBidi" w:cstheme="majorBidi"/>
        </w:rPr>
        <w:t xml:space="preserve">c) </w:t>
      </w:r>
      <w:r w:rsidRPr="00784F6A">
        <w:rPr>
          <w:rFonts w:asciiTheme="majorBidi" w:hAnsiTheme="majorBidi" w:cstheme="majorBidi"/>
        </w:rPr>
        <w:tab/>
        <w:t>De continuer à renforcer l</w:t>
      </w:r>
      <w:r w:rsidR="0059442D">
        <w:rPr>
          <w:rFonts w:asciiTheme="majorBidi" w:hAnsiTheme="majorBidi" w:cstheme="majorBidi"/>
        </w:rPr>
        <w:t>’</w:t>
      </w:r>
      <w:r w:rsidRPr="00784F6A">
        <w:rPr>
          <w:rFonts w:asciiTheme="majorBidi" w:hAnsiTheme="majorBidi" w:cstheme="majorBidi"/>
        </w:rPr>
        <w:t>appropriation nationale et locale, notamment en examinant l</w:t>
      </w:r>
      <w:r w:rsidR="0059442D">
        <w:rPr>
          <w:rFonts w:asciiTheme="majorBidi" w:hAnsiTheme="majorBidi" w:cstheme="majorBidi"/>
        </w:rPr>
        <w:t>’</w:t>
      </w:r>
      <w:r w:rsidRPr="00784F6A">
        <w:rPr>
          <w:rFonts w:asciiTheme="majorBidi" w:hAnsiTheme="majorBidi" w:cstheme="majorBidi"/>
        </w:rPr>
        <w:t>appui en matière de capacités dont disposent les correspondants opérationnels et en examinant le rôle de ses agences d</w:t>
      </w:r>
      <w:r w:rsidR="0059442D">
        <w:rPr>
          <w:rFonts w:asciiTheme="majorBidi" w:hAnsiTheme="majorBidi" w:cstheme="majorBidi"/>
        </w:rPr>
        <w:t>’</w:t>
      </w:r>
      <w:r w:rsidRPr="00784F6A">
        <w:rPr>
          <w:rFonts w:asciiTheme="majorBidi" w:hAnsiTheme="majorBidi" w:cstheme="majorBidi"/>
        </w:rPr>
        <w:t>exécution, tout en envisageant d</w:t>
      </w:r>
      <w:r w:rsidR="0059442D">
        <w:rPr>
          <w:rFonts w:asciiTheme="majorBidi" w:hAnsiTheme="majorBidi" w:cstheme="majorBidi"/>
        </w:rPr>
        <w:t>’</w:t>
      </w:r>
      <w:r w:rsidRPr="00784F6A">
        <w:rPr>
          <w:rFonts w:asciiTheme="majorBidi" w:hAnsiTheme="majorBidi" w:cstheme="majorBidi"/>
        </w:rPr>
        <w:t>élargir leur base, en vue de promouvoir un engagement plus direct des entités nationales dans les pays en développement</w:t>
      </w:r>
      <w:r w:rsidR="00202E35" w:rsidRPr="00784F6A">
        <w:rPr>
          <w:rFonts w:asciiTheme="majorBidi" w:hAnsiTheme="majorBidi" w:cstheme="majorBidi"/>
        </w:rPr>
        <w:t> </w:t>
      </w:r>
      <w:r w:rsidRPr="00784F6A">
        <w:rPr>
          <w:rFonts w:asciiTheme="majorBidi" w:hAnsiTheme="majorBidi" w:cstheme="majorBidi"/>
        </w:rPr>
        <w:t>;</w:t>
      </w:r>
    </w:p>
    <w:p w14:paraId="4243EA93" w14:textId="77777777" w:rsidR="00B14B10" w:rsidRPr="00784F6A" w:rsidRDefault="00726C1C" w:rsidP="00726C1C">
      <w:pPr>
        <w:tabs>
          <w:tab w:val="left" w:pos="2835"/>
          <w:tab w:val="left" w:pos="3402"/>
        </w:tabs>
        <w:spacing w:after="120"/>
        <w:ind w:left="567" w:firstLine="567"/>
        <w:rPr>
          <w:rFonts w:asciiTheme="majorBidi" w:hAnsiTheme="majorBidi" w:cstheme="majorBidi"/>
        </w:rPr>
      </w:pPr>
      <w:r w:rsidRPr="00784F6A">
        <w:rPr>
          <w:rFonts w:asciiTheme="majorBidi" w:hAnsiTheme="majorBidi" w:cstheme="majorBidi"/>
        </w:rPr>
        <w:t xml:space="preserve">d) </w:t>
      </w:r>
      <w:r w:rsidRPr="00784F6A">
        <w:rPr>
          <w:rFonts w:asciiTheme="majorBidi" w:hAnsiTheme="majorBidi" w:cstheme="majorBidi"/>
        </w:rPr>
        <w:tab/>
        <w:t>De continuer à étudier les modalités permettant d</w:t>
      </w:r>
      <w:r w:rsidR="0059442D">
        <w:rPr>
          <w:rFonts w:asciiTheme="majorBidi" w:hAnsiTheme="majorBidi" w:cstheme="majorBidi"/>
        </w:rPr>
        <w:t>’</w:t>
      </w:r>
      <w:r w:rsidRPr="00784F6A">
        <w:rPr>
          <w:rFonts w:asciiTheme="majorBidi" w:hAnsiTheme="majorBidi" w:cstheme="majorBidi"/>
        </w:rPr>
        <w:t>améliorer l</w:t>
      </w:r>
      <w:r w:rsidR="0059442D">
        <w:rPr>
          <w:rFonts w:asciiTheme="majorBidi" w:hAnsiTheme="majorBidi" w:cstheme="majorBidi"/>
        </w:rPr>
        <w:t>’</w:t>
      </w:r>
      <w:r w:rsidRPr="00784F6A">
        <w:rPr>
          <w:rFonts w:asciiTheme="majorBidi" w:hAnsiTheme="majorBidi" w:cstheme="majorBidi"/>
        </w:rPr>
        <w:t>efficacité des processus de financement des activités menées dans le cadre du Protocole de Cartagena et du Protocole de Nagoya et d</w:t>
      </w:r>
      <w:r w:rsidR="0059442D">
        <w:rPr>
          <w:rFonts w:asciiTheme="majorBidi" w:hAnsiTheme="majorBidi" w:cstheme="majorBidi"/>
        </w:rPr>
        <w:t>’</w:t>
      </w:r>
      <w:r w:rsidRPr="00784F6A">
        <w:rPr>
          <w:rFonts w:asciiTheme="majorBidi" w:hAnsiTheme="majorBidi" w:cstheme="majorBidi"/>
        </w:rPr>
        <w:t>encourager les pays à les mettre en œuvre</w:t>
      </w:r>
      <w:r w:rsidR="00202E35" w:rsidRPr="00784F6A">
        <w:rPr>
          <w:rFonts w:asciiTheme="majorBidi" w:hAnsiTheme="majorBidi" w:cstheme="majorBidi"/>
        </w:rPr>
        <w:t> </w:t>
      </w:r>
      <w:r w:rsidRPr="00784F6A">
        <w:rPr>
          <w:rFonts w:asciiTheme="majorBidi" w:hAnsiTheme="majorBidi" w:cstheme="majorBidi"/>
        </w:rPr>
        <w:t>;</w:t>
      </w:r>
    </w:p>
    <w:p w14:paraId="428AE14B" w14:textId="7529D8B1" w:rsidR="00120073" w:rsidRPr="00784F6A" w:rsidRDefault="00B14B10" w:rsidP="00120073">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e)</w:t>
      </w:r>
      <w:r w:rsidRPr="00784F6A">
        <w:rPr>
          <w:rFonts w:asciiTheme="majorBidi" w:eastAsiaTheme="minorHAnsi" w:hAnsiTheme="majorBidi" w:cstheme="majorBidi"/>
        </w:rPr>
        <w:tab/>
      </w:r>
      <w:r w:rsidR="00120073" w:rsidRPr="00784F6A">
        <w:rPr>
          <w:rFonts w:asciiTheme="majorBidi" w:eastAsiaTheme="minorHAnsi" w:hAnsiTheme="majorBidi" w:cstheme="majorBidi"/>
        </w:rPr>
        <w:t>De continuer à promouvoir l</w:t>
      </w:r>
      <w:r w:rsidR="0059442D">
        <w:rPr>
          <w:rFonts w:asciiTheme="majorBidi" w:eastAsiaTheme="minorHAnsi" w:hAnsiTheme="majorBidi" w:cstheme="majorBidi"/>
        </w:rPr>
        <w:t>’</w:t>
      </w:r>
      <w:r w:rsidR="00120073" w:rsidRPr="00784F6A">
        <w:rPr>
          <w:rFonts w:asciiTheme="majorBidi" w:eastAsiaTheme="minorHAnsi" w:hAnsiTheme="majorBidi" w:cstheme="majorBidi"/>
        </w:rPr>
        <w:t xml:space="preserve">appui aux peuples autochtones et communautés locales, notamment en encourageant leur </w:t>
      </w:r>
      <w:r w:rsidR="00CF3FA3">
        <w:rPr>
          <w:rFonts w:asciiTheme="majorBidi" w:eastAsiaTheme="minorHAnsi" w:hAnsiTheme="majorBidi" w:cstheme="majorBidi"/>
        </w:rPr>
        <w:t>rôle de chef de file</w:t>
      </w:r>
      <w:r w:rsidR="00120073" w:rsidRPr="00784F6A">
        <w:rPr>
          <w:rFonts w:asciiTheme="majorBidi" w:eastAsiaTheme="minorHAnsi" w:hAnsiTheme="majorBidi" w:cstheme="majorBidi"/>
        </w:rPr>
        <w:t xml:space="preserve"> et leur partenariat dans les projets, en reconnaissant que les connaissances autochtones sont à la base des activités soutenues par le Fonds pour l</w:t>
      </w:r>
      <w:r w:rsidR="0059442D">
        <w:rPr>
          <w:rFonts w:asciiTheme="majorBidi" w:eastAsiaTheme="minorHAnsi" w:hAnsiTheme="majorBidi" w:cstheme="majorBidi"/>
        </w:rPr>
        <w:t>’</w:t>
      </w:r>
      <w:r w:rsidR="00120073" w:rsidRPr="00784F6A">
        <w:rPr>
          <w:rFonts w:asciiTheme="majorBidi" w:eastAsiaTheme="minorHAnsi" w:hAnsiTheme="majorBidi" w:cstheme="majorBidi"/>
        </w:rPr>
        <w:t>environnement mondial et en utilisant des indicateurs ciblés pour suivre les projets, et d</w:t>
      </w:r>
      <w:r w:rsidR="0059442D">
        <w:rPr>
          <w:rFonts w:asciiTheme="majorBidi" w:eastAsiaTheme="minorHAnsi" w:hAnsiTheme="majorBidi" w:cstheme="majorBidi"/>
        </w:rPr>
        <w:t>’</w:t>
      </w:r>
      <w:r w:rsidR="00120073" w:rsidRPr="00784F6A">
        <w:rPr>
          <w:rFonts w:asciiTheme="majorBidi" w:eastAsiaTheme="minorHAnsi" w:hAnsiTheme="majorBidi" w:cstheme="majorBidi"/>
        </w:rPr>
        <w:t>envisager de fixer une cible de financement pour appuyer les priorités des peuples autochtones et communautés locales dans l</w:t>
      </w:r>
      <w:r w:rsidR="0059442D">
        <w:rPr>
          <w:rFonts w:asciiTheme="majorBidi" w:eastAsiaTheme="minorHAnsi" w:hAnsiTheme="majorBidi" w:cstheme="majorBidi"/>
        </w:rPr>
        <w:t>’</w:t>
      </w:r>
      <w:r w:rsidR="00120073" w:rsidRPr="00784F6A">
        <w:rPr>
          <w:rFonts w:asciiTheme="majorBidi" w:eastAsiaTheme="minorHAnsi" w:hAnsiTheme="majorBidi" w:cstheme="majorBidi"/>
        </w:rPr>
        <w:t xml:space="preserve">ensemble du programme relatif à la biodiversité de la </w:t>
      </w:r>
      <w:r w:rsidR="00E92A58" w:rsidRPr="00784F6A">
        <w:rPr>
          <w:rFonts w:asciiTheme="majorBidi" w:eastAsiaTheme="minorHAnsi" w:hAnsiTheme="majorBidi" w:cstheme="majorBidi"/>
        </w:rPr>
        <w:t>C</w:t>
      </w:r>
      <w:r w:rsidR="00120073" w:rsidRPr="00784F6A">
        <w:rPr>
          <w:rFonts w:asciiTheme="majorBidi" w:eastAsiaTheme="minorHAnsi" w:hAnsiTheme="majorBidi" w:cstheme="majorBidi"/>
        </w:rPr>
        <w:t>aisse du Fonds pour l</w:t>
      </w:r>
      <w:r w:rsidR="0059442D">
        <w:rPr>
          <w:rFonts w:asciiTheme="majorBidi" w:eastAsiaTheme="minorHAnsi" w:hAnsiTheme="majorBidi" w:cstheme="majorBidi"/>
        </w:rPr>
        <w:t>’</w:t>
      </w:r>
      <w:r w:rsidR="00120073" w:rsidRPr="00784F6A">
        <w:rPr>
          <w:rFonts w:asciiTheme="majorBidi" w:eastAsiaTheme="minorHAnsi" w:hAnsiTheme="majorBidi" w:cstheme="majorBidi"/>
        </w:rPr>
        <w:t>environnement mondial</w:t>
      </w:r>
      <w:r w:rsidR="00202E35" w:rsidRPr="00784F6A">
        <w:rPr>
          <w:rFonts w:asciiTheme="majorBidi" w:eastAsiaTheme="minorHAnsi" w:hAnsiTheme="majorBidi" w:cstheme="majorBidi"/>
        </w:rPr>
        <w:t> </w:t>
      </w:r>
      <w:r w:rsidR="00120073" w:rsidRPr="00784F6A">
        <w:rPr>
          <w:rFonts w:asciiTheme="majorBidi" w:eastAsiaTheme="minorHAnsi" w:hAnsiTheme="majorBidi" w:cstheme="majorBidi"/>
        </w:rPr>
        <w:t>;</w:t>
      </w:r>
    </w:p>
    <w:p w14:paraId="64F1D68E" w14:textId="77777777" w:rsidR="00B14B10" w:rsidRPr="00784F6A" w:rsidRDefault="00120073" w:rsidP="00120073">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 xml:space="preserve">f) </w:t>
      </w:r>
      <w:r w:rsidRPr="00784F6A">
        <w:rPr>
          <w:rFonts w:asciiTheme="majorBidi" w:eastAsiaTheme="minorHAnsi" w:hAnsiTheme="majorBidi" w:cstheme="majorBidi"/>
        </w:rPr>
        <w:tab/>
        <w:t>De contribuer à la mise en œuvre de l</w:t>
      </w:r>
      <w:r w:rsidR="0059442D">
        <w:rPr>
          <w:rFonts w:asciiTheme="majorBidi" w:eastAsiaTheme="minorHAnsi" w:hAnsiTheme="majorBidi" w:cstheme="majorBidi"/>
        </w:rPr>
        <w:t>’</w:t>
      </w:r>
      <w:r w:rsidRPr="00784F6A">
        <w:rPr>
          <w:rFonts w:asciiTheme="majorBidi" w:eastAsiaTheme="minorHAnsi" w:hAnsiTheme="majorBidi" w:cstheme="majorBidi"/>
        </w:rPr>
        <w:t>approche pangouvernementale et pansociétale du Cadre en continuant à renforcer l</w:t>
      </w:r>
      <w:r w:rsidR="0059442D">
        <w:rPr>
          <w:rFonts w:asciiTheme="majorBidi" w:eastAsiaTheme="minorHAnsi" w:hAnsiTheme="majorBidi" w:cstheme="majorBidi"/>
        </w:rPr>
        <w:t>’</w:t>
      </w:r>
      <w:r w:rsidRPr="00784F6A">
        <w:rPr>
          <w:rFonts w:asciiTheme="majorBidi" w:eastAsiaTheme="minorHAnsi" w:hAnsiTheme="majorBidi" w:cstheme="majorBidi"/>
        </w:rPr>
        <w:t>engagement effectif des organisations de la société civile, des femmes et des jeunes, des peuples autochtones et communautés locales, du secteur privé, des organisations philanthropiques et de protection de la nature et d</w:t>
      </w:r>
      <w:r w:rsidR="0059442D">
        <w:rPr>
          <w:rFonts w:asciiTheme="majorBidi" w:eastAsiaTheme="minorHAnsi" w:hAnsiTheme="majorBidi" w:cstheme="majorBidi"/>
        </w:rPr>
        <w:t>’</w:t>
      </w:r>
      <w:r w:rsidRPr="00784F6A">
        <w:rPr>
          <w:rFonts w:asciiTheme="majorBidi" w:eastAsiaTheme="minorHAnsi" w:hAnsiTheme="majorBidi" w:cstheme="majorBidi"/>
        </w:rPr>
        <w:t>autres grands groupes de parties prenantes</w:t>
      </w:r>
      <w:r w:rsidR="00202E35" w:rsidRPr="00784F6A">
        <w:rPr>
          <w:rFonts w:asciiTheme="majorBidi" w:eastAsiaTheme="minorHAnsi" w:hAnsiTheme="majorBidi" w:cstheme="majorBidi"/>
        </w:rPr>
        <w:t> </w:t>
      </w:r>
      <w:r w:rsidR="00B14B10" w:rsidRPr="00784F6A">
        <w:rPr>
          <w:rFonts w:asciiTheme="majorBidi" w:eastAsiaTheme="minorHAnsi" w:hAnsiTheme="majorBidi" w:cstheme="majorBidi"/>
        </w:rPr>
        <w:t>;</w:t>
      </w:r>
    </w:p>
    <w:p w14:paraId="2CC0FD66" w14:textId="77777777" w:rsidR="00B14B10" w:rsidRPr="00784F6A" w:rsidRDefault="00B14B10" w:rsidP="00B14B10">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35.</w:t>
      </w:r>
      <w:r w:rsidRPr="00784F6A">
        <w:rPr>
          <w:rFonts w:asciiTheme="majorBidi" w:eastAsiaTheme="minorHAnsi" w:hAnsiTheme="majorBidi" w:cstheme="majorBidi"/>
          <w:i/>
          <w:iCs/>
        </w:rPr>
        <w:tab/>
      </w:r>
      <w:r w:rsidR="00E92A58" w:rsidRPr="00784F6A">
        <w:rPr>
          <w:rFonts w:asciiTheme="majorBidi" w:eastAsiaTheme="minorHAnsi" w:hAnsiTheme="majorBidi" w:cstheme="majorBidi"/>
          <w:i/>
          <w:iCs/>
        </w:rPr>
        <w:t xml:space="preserve">Demande en outre </w:t>
      </w:r>
      <w:r w:rsidR="00E92A58" w:rsidRPr="00784F6A">
        <w:rPr>
          <w:rFonts w:asciiTheme="majorBidi" w:eastAsiaTheme="minorHAnsi" w:hAnsiTheme="majorBidi" w:cstheme="majorBidi"/>
        </w:rPr>
        <w:t>au Fonds pour l</w:t>
      </w:r>
      <w:r w:rsidR="0059442D">
        <w:rPr>
          <w:rFonts w:asciiTheme="majorBidi" w:eastAsiaTheme="minorHAnsi" w:hAnsiTheme="majorBidi" w:cstheme="majorBidi"/>
        </w:rPr>
        <w:t>’</w:t>
      </w:r>
      <w:r w:rsidR="00E92A58" w:rsidRPr="00784F6A">
        <w:rPr>
          <w:rFonts w:asciiTheme="majorBidi" w:eastAsiaTheme="minorHAnsi" w:hAnsiTheme="majorBidi" w:cstheme="majorBidi"/>
        </w:rPr>
        <w:t>environnement Mondial</w:t>
      </w:r>
      <w:r w:rsidR="00436638" w:rsidRPr="00784F6A">
        <w:rPr>
          <w:rFonts w:asciiTheme="majorBidi" w:eastAsiaTheme="minorHAnsi" w:hAnsiTheme="majorBidi" w:cstheme="majorBidi"/>
          <w:i/>
          <w:iCs/>
        </w:rPr>
        <w:t> </w:t>
      </w:r>
      <w:r w:rsidRPr="00784F6A">
        <w:rPr>
          <w:rFonts w:asciiTheme="majorBidi" w:hAnsiTheme="majorBidi" w:cstheme="majorBidi"/>
        </w:rPr>
        <w:t>:</w:t>
      </w:r>
    </w:p>
    <w:p w14:paraId="02C5F68B" w14:textId="564E7D55" w:rsidR="00E92A58" w:rsidRPr="00784F6A" w:rsidRDefault="00B14B10" w:rsidP="00E92A58">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a)</w:t>
      </w:r>
      <w:r w:rsidRPr="00784F6A">
        <w:rPr>
          <w:rFonts w:asciiTheme="majorBidi" w:eastAsiaTheme="minorHAnsi" w:hAnsiTheme="majorBidi" w:cstheme="majorBidi"/>
        </w:rPr>
        <w:tab/>
      </w:r>
      <w:r w:rsidR="00E92A58" w:rsidRPr="00784F6A">
        <w:rPr>
          <w:rFonts w:asciiTheme="majorBidi" w:eastAsiaTheme="minorHAnsi" w:hAnsiTheme="majorBidi" w:cstheme="majorBidi"/>
        </w:rPr>
        <w:t>D</w:t>
      </w:r>
      <w:r w:rsidR="0059442D">
        <w:rPr>
          <w:rFonts w:asciiTheme="majorBidi" w:eastAsiaTheme="minorHAnsi" w:hAnsiTheme="majorBidi" w:cstheme="majorBidi"/>
        </w:rPr>
        <w:t>’</w:t>
      </w:r>
      <w:r w:rsidR="00E92A58" w:rsidRPr="00784F6A">
        <w:rPr>
          <w:rFonts w:asciiTheme="majorBidi" w:eastAsiaTheme="minorHAnsi" w:hAnsiTheme="majorBidi" w:cstheme="majorBidi"/>
        </w:rPr>
        <w:t xml:space="preserve">envisager de lier les résultats de la mise en œuvre dans le Cadre de mesure des résultats de la neuvième reconstitution </w:t>
      </w:r>
      <w:r w:rsidR="00CF3FA3">
        <w:rPr>
          <w:rFonts w:asciiTheme="majorBidi" w:eastAsiaTheme="minorHAnsi" w:hAnsiTheme="majorBidi" w:cstheme="majorBidi"/>
        </w:rPr>
        <w:t xml:space="preserve">des ressources </w:t>
      </w:r>
      <w:r w:rsidR="00E92A58" w:rsidRPr="00784F6A">
        <w:rPr>
          <w:rFonts w:asciiTheme="majorBidi" w:eastAsiaTheme="minorHAnsi" w:hAnsiTheme="majorBidi" w:cstheme="majorBidi"/>
        </w:rPr>
        <w:t xml:space="preserve">de sa </w:t>
      </w:r>
      <w:r w:rsidR="00184228" w:rsidRPr="00784F6A">
        <w:rPr>
          <w:rFonts w:asciiTheme="majorBidi" w:eastAsiaTheme="minorHAnsi" w:hAnsiTheme="majorBidi" w:cstheme="majorBidi"/>
        </w:rPr>
        <w:t>C</w:t>
      </w:r>
      <w:r w:rsidR="00E92A58" w:rsidRPr="00784F6A">
        <w:rPr>
          <w:rFonts w:asciiTheme="majorBidi" w:eastAsiaTheme="minorHAnsi" w:hAnsiTheme="majorBidi" w:cstheme="majorBidi"/>
        </w:rPr>
        <w:t>aisse, les examens annuels de résultats et les évaluations stratégiques par groupe de pays aux objectifs des accords multilatéraux relatifs à l</w:t>
      </w:r>
      <w:r w:rsidR="0059442D">
        <w:rPr>
          <w:rFonts w:asciiTheme="majorBidi" w:eastAsiaTheme="minorHAnsi" w:hAnsiTheme="majorBidi" w:cstheme="majorBidi"/>
        </w:rPr>
        <w:t>’</w:t>
      </w:r>
      <w:r w:rsidR="00E92A58" w:rsidRPr="00784F6A">
        <w:rPr>
          <w:rFonts w:asciiTheme="majorBidi" w:eastAsiaTheme="minorHAnsi" w:hAnsiTheme="majorBidi" w:cstheme="majorBidi"/>
        </w:rPr>
        <w:t>environnement, tels que ceux de la Convention</w:t>
      </w:r>
      <w:r w:rsidR="00202E35" w:rsidRPr="00784F6A">
        <w:rPr>
          <w:rFonts w:asciiTheme="majorBidi" w:eastAsiaTheme="minorHAnsi" w:hAnsiTheme="majorBidi" w:cstheme="majorBidi"/>
        </w:rPr>
        <w:t> </w:t>
      </w:r>
      <w:r w:rsidR="00E92A58" w:rsidRPr="00784F6A">
        <w:rPr>
          <w:rFonts w:asciiTheme="majorBidi" w:eastAsiaTheme="minorHAnsi" w:hAnsiTheme="majorBidi" w:cstheme="majorBidi"/>
        </w:rPr>
        <w:t>;</w:t>
      </w:r>
    </w:p>
    <w:p w14:paraId="7F8FE6B8" w14:textId="77777777" w:rsidR="00E92A58" w:rsidRPr="00784F6A" w:rsidRDefault="00E92A58" w:rsidP="00E92A58">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 xml:space="preserve">b) </w:t>
      </w:r>
      <w:r w:rsidRPr="00784F6A">
        <w:rPr>
          <w:rFonts w:asciiTheme="majorBidi" w:eastAsiaTheme="minorHAnsi" w:hAnsiTheme="majorBidi" w:cstheme="majorBidi"/>
        </w:rPr>
        <w:tab/>
        <w:t>De renforcer son action en vue de satisfaire à toutes les exigences actuelles en matière d</w:t>
      </w:r>
      <w:r w:rsidR="0059442D">
        <w:rPr>
          <w:rFonts w:asciiTheme="majorBidi" w:eastAsiaTheme="minorHAnsi" w:hAnsiTheme="majorBidi" w:cstheme="majorBidi"/>
        </w:rPr>
        <w:t>’</w:t>
      </w:r>
      <w:r w:rsidRPr="00784F6A">
        <w:rPr>
          <w:rFonts w:asciiTheme="majorBidi" w:eastAsiaTheme="minorHAnsi" w:hAnsiTheme="majorBidi" w:cstheme="majorBidi"/>
        </w:rPr>
        <w:t>établissement de rapports et, à cet égard, d</w:t>
      </w:r>
      <w:r w:rsidR="0059442D">
        <w:rPr>
          <w:rFonts w:asciiTheme="majorBidi" w:eastAsiaTheme="minorHAnsi" w:hAnsiTheme="majorBidi" w:cstheme="majorBidi"/>
        </w:rPr>
        <w:t>’</w:t>
      </w:r>
      <w:r w:rsidRPr="00784F6A">
        <w:rPr>
          <w:rFonts w:asciiTheme="majorBidi" w:eastAsiaTheme="minorHAnsi" w:hAnsiTheme="majorBidi" w:cstheme="majorBidi"/>
        </w:rPr>
        <w:t>inclure des informations sur les projets relatifs à la diversité biologique qu</w:t>
      </w:r>
      <w:r w:rsidR="0059442D">
        <w:rPr>
          <w:rFonts w:asciiTheme="majorBidi" w:eastAsiaTheme="minorHAnsi" w:hAnsiTheme="majorBidi" w:cstheme="majorBidi"/>
        </w:rPr>
        <w:t>’</w:t>
      </w:r>
      <w:r w:rsidRPr="00784F6A">
        <w:rPr>
          <w:rFonts w:asciiTheme="majorBidi" w:eastAsiaTheme="minorHAnsi" w:hAnsiTheme="majorBidi" w:cstheme="majorBidi"/>
        </w:rPr>
        <w:t>il finance en dehors de la Convention et sur sa réponse aux évaluations des besoins réalisées par la Conférence des Parties dans le cadre du mémorandum d</w:t>
      </w:r>
      <w:r w:rsidR="0059442D">
        <w:rPr>
          <w:rFonts w:asciiTheme="majorBidi" w:eastAsiaTheme="minorHAnsi" w:hAnsiTheme="majorBidi" w:cstheme="majorBidi"/>
        </w:rPr>
        <w:t>’</w:t>
      </w:r>
      <w:r w:rsidRPr="00784F6A">
        <w:rPr>
          <w:rFonts w:asciiTheme="majorBidi" w:eastAsiaTheme="minorHAnsi" w:hAnsiTheme="majorBidi" w:cstheme="majorBidi"/>
        </w:rPr>
        <w:t>accord entre la Conférence des Parties et le Conseil du Fonds pour l</w:t>
      </w:r>
      <w:r w:rsidR="0059442D">
        <w:rPr>
          <w:rFonts w:asciiTheme="majorBidi" w:eastAsiaTheme="minorHAnsi" w:hAnsiTheme="majorBidi" w:cstheme="majorBidi"/>
        </w:rPr>
        <w:t>’</w:t>
      </w:r>
      <w:r w:rsidRPr="00784F6A">
        <w:rPr>
          <w:rFonts w:asciiTheme="majorBidi" w:eastAsiaTheme="minorHAnsi" w:hAnsiTheme="majorBidi" w:cstheme="majorBidi"/>
        </w:rPr>
        <w:t>environnement mondial, afin de permettre à la Conférence des Parties d</w:t>
      </w:r>
      <w:r w:rsidR="0059442D">
        <w:rPr>
          <w:rFonts w:asciiTheme="majorBidi" w:eastAsiaTheme="minorHAnsi" w:hAnsiTheme="majorBidi" w:cstheme="majorBidi"/>
        </w:rPr>
        <w:t>’</w:t>
      </w:r>
      <w:r w:rsidRPr="00784F6A">
        <w:rPr>
          <w:rFonts w:asciiTheme="majorBidi" w:eastAsiaTheme="minorHAnsi" w:hAnsiTheme="majorBidi" w:cstheme="majorBidi"/>
        </w:rPr>
        <w:t>améliorer ses orientations</w:t>
      </w:r>
      <w:r w:rsidR="00202E35" w:rsidRPr="00784F6A">
        <w:rPr>
          <w:rFonts w:asciiTheme="majorBidi" w:eastAsiaTheme="minorHAnsi" w:hAnsiTheme="majorBidi" w:cstheme="majorBidi"/>
        </w:rPr>
        <w:t> </w:t>
      </w:r>
      <w:r w:rsidRPr="00784F6A">
        <w:rPr>
          <w:rFonts w:asciiTheme="majorBidi" w:eastAsiaTheme="minorHAnsi" w:hAnsiTheme="majorBidi" w:cstheme="majorBidi"/>
        </w:rPr>
        <w:t>;</w:t>
      </w:r>
    </w:p>
    <w:p w14:paraId="4E9311D6" w14:textId="77777777" w:rsidR="00E92A58" w:rsidRPr="00784F6A" w:rsidRDefault="00E92A58" w:rsidP="00E92A58">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 xml:space="preserve">c) </w:t>
      </w:r>
      <w:r w:rsidRPr="00784F6A">
        <w:rPr>
          <w:rFonts w:asciiTheme="majorBidi" w:eastAsiaTheme="minorHAnsi" w:hAnsiTheme="majorBidi" w:cstheme="majorBidi"/>
        </w:rPr>
        <w:tab/>
        <w:t>De veiller à ce que les rapports présentés à la Conférence des Parties contiennent des données relatives aux peuples autochtones et communautés locales, en particulier des données ventilées, lorsqu</w:t>
      </w:r>
      <w:r w:rsidR="0059442D">
        <w:rPr>
          <w:rFonts w:asciiTheme="majorBidi" w:eastAsiaTheme="minorHAnsi" w:hAnsiTheme="majorBidi" w:cstheme="majorBidi"/>
        </w:rPr>
        <w:t>’</w:t>
      </w:r>
      <w:r w:rsidRPr="00784F6A">
        <w:rPr>
          <w:rFonts w:asciiTheme="majorBidi" w:eastAsiaTheme="minorHAnsi" w:hAnsiTheme="majorBidi" w:cstheme="majorBidi"/>
        </w:rPr>
        <w:t>elles sont disponibles</w:t>
      </w:r>
      <w:r w:rsidR="00202E35" w:rsidRPr="00784F6A">
        <w:rPr>
          <w:rFonts w:asciiTheme="majorBidi" w:eastAsiaTheme="minorHAnsi" w:hAnsiTheme="majorBidi" w:cstheme="majorBidi"/>
        </w:rPr>
        <w:t> </w:t>
      </w:r>
      <w:r w:rsidRPr="00784F6A">
        <w:rPr>
          <w:rFonts w:asciiTheme="majorBidi" w:eastAsiaTheme="minorHAnsi" w:hAnsiTheme="majorBidi" w:cstheme="majorBidi"/>
        </w:rPr>
        <w:t>;</w:t>
      </w:r>
    </w:p>
    <w:p w14:paraId="7B202C36" w14:textId="77777777" w:rsidR="00B14B10" w:rsidRPr="00784F6A" w:rsidRDefault="00E92A58" w:rsidP="00E92A58">
      <w:pPr>
        <w:tabs>
          <w:tab w:val="left" w:pos="2835"/>
          <w:tab w:val="left" w:pos="3402"/>
        </w:tabs>
        <w:spacing w:after="120"/>
        <w:ind w:left="567" w:firstLine="567"/>
        <w:rPr>
          <w:rFonts w:asciiTheme="majorBidi" w:eastAsiaTheme="minorHAnsi" w:hAnsiTheme="majorBidi" w:cstheme="majorBidi"/>
          <w:sz w:val="20"/>
          <w:szCs w:val="20"/>
        </w:rPr>
      </w:pPr>
      <w:r w:rsidRPr="00784F6A">
        <w:rPr>
          <w:rFonts w:asciiTheme="majorBidi" w:eastAsiaTheme="minorHAnsi" w:hAnsiTheme="majorBidi" w:cstheme="majorBidi"/>
        </w:rPr>
        <w:t xml:space="preserve">d) </w:t>
      </w:r>
      <w:r w:rsidRPr="00784F6A">
        <w:rPr>
          <w:rFonts w:asciiTheme="majorBidi" w:eastAsiaTheme="minorHAnsi" w:hAnsiTheme="majorBidi" w:cstheme="majorBidi"/>
        </w:rPr>
        <w:tab/>
        <w:t>D</w:t>
      </w:r>
      <w:r w:rsidR="0059442D">
        <w:rPr>
          <w:rFonts w:asciiTheme="majorBidi" w:eastAsiaTheme="minorHAnsi" w:hAnsiTheme="majorBidi" w:cstheme="majorBidi"/>
        </w:rPr>
        <w:t>’</w:t>
      </w:r>
      <w:r w:rsidRPr="00784F6A">
        <w:rPr>
          <w:rFonts w:asciiTheme="majorBidi" w:eastAsiaTheme="minorHAnsi" w:hAnsiTheme="majorBidi" w:cstheme="majorBidi"/>
        </w:rPr>
        <w:t>étudier d</w:t>
      </w:r>
      <w:r w:rsidR="0059442D">
        <w:rPr>
          <w:rFonts w:asciiTheme="majorBidi" w:eastAsiaTheme="minorHAnsi" w:hAnsiTheme="majorBidi" w:cstheme="majorBidi"/>
        </w:rPr>
        <w:t>’</w:t>
      </w:r>
      <w:r w:rsidRPr="00784F6A">
        <w:rPr>
          <w:rFonts w:asciiTheme="majorBidi" w:eastAsiaTheme="minorHAnsi" w:hAnsiTheme="majorBidi" w:cstheme="majorBidi"/>
        </w:rPr>
        <w:t>autres modalités, procédures et processus de programmation afin de faciliter et d</w:t>
      </w:r>
      <w:r w:rsidR="0059442D">
        <w:rPr>
          <w:rFonts w:asciiTheme="majorBidi" w:eastAsiaTheme="minorHAnsi" w:hAnsiTheme="majorBidi" w:cstheme="majorBidi"/>
        </w:rPr>
        <w:t>’</w:t>
      </w:r>
      <w:r w:rsidRPr="00784F6A">
        <w:rPr>
          <w:rFonts w:asciiTheme="majorBidi" w:eastAsiaTheme="minorHAnsi" w:hAnsiTheme="majorBidi" w:cstheme="majorBidi"/>
        </w:rPr>
        <w:t>accélérer l</w:t>
      </w:r>
      <w:r w:rsidR="0059442D">
        <w:rPr>
          <w:rFonts w:asciiTheme="majorBidi" w:eastAsiaTheme="minorHAnsi" w:hAnsiTheme="majorBidi" w:cstheme="majorBidi"/>
        </w:rPr>
        <w:t>’</w:t>
      </w:r>
      <w:r w:rsidRPr="00784F6A">
        <w:rPr>
          <w:rFonts w:asciiTheme="majorBidi" w:eastAsiaTheme="minorHAnsi" w:hAnsiTheme="majorBidi" w:cstheme="majorBidi"/>
        </w:rPr>
        <w:t>accès à des ressources financières accrues pour les activités habilitantes</w:t>
      </w:r>
      <w:r w:rsidR="00202E35" w:rsidRPr="00784F6A">
        <w:rPr>
          <w:rFonts w:asciiTheme="majorBidi" w:eastAsiaTheme="minorHAnsi" w:hAnsiTheme="majorBidi" w:cstheme="majorBidi"/>
        </w:rPr>
        <w:t> </w:t>
      </w:r>
      <w:r w:rsidR="00B14B10" w:rsidRPr="00784F6A">
        <w:t>;</w:t>
      </w:r>
    </w:p>
    <w:p w14:paraId="1C4CFBEB" w14:textId="77777777" w:rsidR="00F316E1" w:rsidRPr="00784F6A" w:rsidRDefault="00B14B10" w:rsidP="00F316E1">
      <w:pPr>
        <w:tabs>
          <w:tab w:val="left" w:pos="2835"/>
          <w:tab w:val="left" w:pos="3402"/>
        </w:tabs>
        <w:spacing w:after="120"/>
        <w:ind w:left="567" w:firstLine="567"/>
      </w:pPr>
      <w:r w:rsidRPr="00784F6A">
        <w:t>36.</w:t>
      </w:r>
      <w:r w:rsidRPr="00784F6A">
        <w:tab/>
      </w:r>
      <w:r w:rsidR="00F316E1" w:rsidRPr="00784F6A">
        <w:rPr>
          <w:i/>
          <w:iCs/>
        </w:rPr>
        <w:t xml:space="preserve">Demande </w:t>
      </w:r>
      <w:r w:rsidR="00F316E1" w:rsidRPr="00784F6A">
        <w:t>au Conseil du Fonds pour l</w:t>
      </w:r>
      <w:r w:rsidR="0059442D">
        <w:t>’</w:t>
      </w:r>
      <w:r w:rsidR="00F316E1" w:rsidRPr="00784F6A">
        <w:t>environnement mondial d</w:t>
      </w:r>
      <w:r w:rsidR="0059442D">
        <w:t>’</w:t>
      </w:r>
      <w:r w:rsidR="00F316E1" w:rsidRPr="00784F6A">
        <w:t>étudier les moyens d</w:t>
      </w:r>
      <w:r w:rsidR="0059442D">
        <w:t>’</w:t>
      </w:r>
      <w:r w:rsidR="00F316E1" w:rsidRPr="00784F6A">
        <w:t xml:space="preserve">améliorer la représentation géographique équitable au sein de ses mandants et entre eux, </w:t>
      </w:r>
      <w:r w:rsidR="00F316E1" w:rsidRPr="00784F6A">
        <w:lastRenderedPageBreak/>
        <w:t>notamment en tenant dûment compte des éléments exposés dans le rapport sur le sixième examen de l</w:t>
      </w:r>
      <w:r w:rsidR="0059442D">
        <w:t>’</w:t>
      </w:r>
      <w:r w:rsidR="00F316E1" w:rsidRPr="00784F6A">
        <w:t xml:space="preserve">efficacité du </w:t>
      </w:r>
      <w:r w:rsidR="002F29BF" w:rsidRPr="00784F6A">
        <w:t>mécanisme de financement</w:t>
      </w:r>
      <w:r w:rsidR="00202E35" w:rsidRPr="00784F6A">
        <w:t> </w:t>
      </w:r>
      <w:r w:rsidR="00F316E1" w:rsidRPr="00784F6A">
        <w:t>;</w:t>
      </w:r>
    </w:p>
    <w:p w14:paraId="50693A37" w14:textId="77777777" w:rsidR="00B14B10" w:rsidRPr="00784F6A" w:rsidRDefault="00F316E1" w:rsidP="00F316E1">
      <w:pPr>
        <w:tabs>
          <w:tab w:val="left" w:pos="2835"/>
          <w:tab w:val="left" w:pos="3402"/>
        </w:tabs>
        <w:spacing w:after="120"/>
        <w:ind w:left="567" w:firstLine="567"/>
        <w:rPr>
          <w:rFonts w:asciiTheme="majorBidi" w:eastAsiaTheme="minorHAnsi" w:hAnsiTheme="majorBidi" w:cstheme="majorBidi"/>
        </w:rPr>
      </w:pPr>
      <w:r w:rsidRPr="00784F6A">
        <w:t xml:space="preserve">37.    </w:t>
      </w:r>
      <w:r w:rsidRPr="00784F6A">
        <w:rPr>
          <w:i/>
          <w:iCs/>
        </w:rPr>
        <w:t>Demande</w:t>
      </w:r>
      <w:r w:rsidRPr="00784F6A">
        <w:t xml:space="preserve"> </w:t>
      </w:r>
      <w:r w:rsidRPr="00784F6A">
        <w:rPr>
          <w:i/>
          <w:iCs/>
        </w:rPr>
        <w:t>également</w:t>
      </w:r>
      <w:r w:rsidRPr="00784F6A">
        <w:t xml:space="preserve"> au Conseil du Fonds pour l</w:t>
      </w:r>
      <w:r w:rsidR="0059442D">
        <w:t>’</w:t>
      </w:r>
      <w:r w:rsidRPr="00784F6A">
        <w:t>environnement mondial de veiller à ce que les peuples autochtones et communautés locales, les femmes et les jeunes participent effectivement à la prise de décisions, compte tenu de leur contribution à la conservation et à l</w:t>
      </w:r>
      <w:r w:rsidR="0059442D">
        <w:t>’</w:t>
      </w:r>
      <w:r w:rsidRPr="00784F6A">
        <w:t>utilisation durable de la biodiversité</w:t>
      </w:r>
      <w:r w:rsidR="00202E35" w:rsidRPr="00784F6A">
        <w:t> </w:t>
      </w:r>
      <w:r w:rsidRPr="00784F6A">
        <w:t>;</w:t>
      </w:r>
      <w:r w:rsidR="00B14B10" w:rsidRPr="00784F6A">
        <w:rPr>
          <w:rFonts w:asciiTheme="majorBidi" w:eastAsiaTheme="minorHAnsi" w:hAnsiTheme="majorBidi" w:cstheme="majorBidi"/>
        </w:rPr>
        <w:t xml:space="preserve"> </w:t>
      </w:r>
    </w:p>
    <w:p w14:paraId="6FEB33A2" w14:textId="178E1218" w:rsidR="00F316E1" w:rsidRPr="00784F6A" w:rsidRDefault="00B14B10" w:rsidP="00F316E1">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38.</w:t>
      </w:r>
      <w:r w:rsidRPr="00784F6A">
        <w:rPr>
          <w:rFonts w:asciiTheme="majorBidi" w:eastAsiaTheme="minorHAnsi" w:hAnsiTheme="majorBidi" w:cstheme="majorBidi"/>
        </w:rPr>
        <w:tab/>
      </w:r>
      <w:r w:rsidR="00F316E1" w:rsidRPr="00784F6A">
        <w:rPr>
          <w:rFonts w:asciiTheme="majorBidi" w:eastAsiaTheme="minorHAnsi" w:hAnsiTheme="majorBidi" w:cstheme="majorBidi"/>
          <w:i/>
          <w:iCs/>
        </w:rPr>
        <w:t>Invite</w:t>
      </w:r>
      <w:r w:rsidR="00F316E1" w:rsidRPr="00784F6A">
        <w:rPr>
          <w:rFonts w:asciiTheme="majorBidi" w:eastAsiaTheme="minorHAnsi" w:hAnsiTheme="majorBidi" w:cstheme="majorBidi"/>
        </w:rPr>
        <w:t xml:space="preserve"> l</w:t>
      </w:r>
      <w:r w:rsidR="0059442D">
        <w:rPr>
          <w:rFonts w:asciiTheme="majorBidi" w:eastAsiaTheme="minorHAnsi" w:hAnsiTheme="majorBidi" w:cstheme="majorBidi"/>
        </w:rPr>
        <w:t>’</w:t>
      </w:r>
      <w:r w:rsidR="00F316E1" w:rsidRPr="00784F6A">
        <w:rPr>
          <w:rFonts w:asciiTheme="majorBidi" w:eastAsiaTheme="minorHAnsi" w:hAnsiTheme="majorBidi" w:cstheme="majorBidi"/>
        </w:rPr>
        <w:t>Assemblée du Fonds pour l</w:t>
      </w:r>
      <w:r w:rsidR="0059442D">
        <w:rPr>
          <w:rFonts w:asciiTheme="majorBidi" w:eastAsiaTheme="minorHAnsi" w:hAnsiTheme="majorBidi" w:cstheme="majorBidi"/>
        </w:rPr>
        <w:t>’</w:t>
      </w:r>
      <w:r w:rsidR="00F316E1" w:rsidRPr="00784F6A">
        <w:rPr>
          <w:rFonts w:asciiTheme="majorBidi" w:eastAsiaTheme="minorHAnsi" w:hAnsiTheme="majorBidi" w:cstheme="majorBidi"/>
        </w:rPr>
        <w:t xml:space="preserve">environnement mondial, dans le cadre de la neuvième </w:t>
      </w:r>
      <w:r w:rsidR="00CF3FA3">
        <w:rPr>
          <w:rFonts w:asciiTheme="majorBidi" w:eastAsiaTheme="minorHAnsi" w:hAnsiTheme="majorBidi" w:cstheme="majorBidi"/>
        </w:rPr>
        <w:t>reconstitution des ressources de la Caisse</w:t>
      </w:r>
      <w:r w:rsidR="00F316E1" w:rsidRPr="00784F6A">
        <w:rPr>
          <w:rFonts w:asciiTheme="majorBidi" w:eastAsiaTheme="minorHAnsi" w:hAnsiTheme="majorBidi" w:cstheme="majorBidi"/>
        </w:rPr>
        <w:t xml:space="preserve"> du Fonds, à envisager des réformes de sa gouvernance sur la base des recommandations de son Conseil en ce qui concerne les paragraphes</w:t>
      </w:r>
      <w:r w:rsidR="00436638" w:rsidRPr="00784F6A">
        <w:rPr>
          <w:rFonts w:asciiTheme="majorBidi" w:eastAsiaTheme="minorHAnsi" w:hAnsiTheme="majorBidi" w:cstheme="majorBidi"/>
        </w:rPr>
        <w:t> </w:t>
      </w:r>
      <w:r w:rsidR="00F316E1" w:rsidRPr="00784F6A">
        <w:rPr>
          <w:rFonts w:asciiTheme="majorBidi" w:eastAsiaTheme="minorHAnsi" w:hAnsiTheme="majorBidi" w:cstheme="majorBidi"/>
        </w:rPr>
        <w:t>36 et 37 ci-dessus</w:t>
      </w:r>
      <w:r w:rsidR="00202E35" w:rsidRPr="00784F6A">
        <w:rPr>
          <w:rFonts w:asciiTheme="majorBidi" w:eastAsiaTheme="minorHAnsi" w:hAnsiTheme="majorBidi" w:cstheme="majorBidi"/>
        </w:rPr>
        <w:t> </w:t>
      </w:r>
      <w:r w:rsidR="00F316E1" w:rsidRPr="00784F6A">
        <w:rPr>
          <w:rFonts w:asciiTheme="majorBidi" w:eastAsiaTheme="minorHAnsi" w:hAnsiTheme="majorBidi" w:cstheme="majorBidi"/>
        </w:rPr>
        <w:t>;</w:t>
      </w:r>
    </w:p>
    <w:p w14:paraId="2D28BE05" w14:textId="77777777" w:rsidR="00B14B10" w:rsidRPr="00784F6A" w:rsidRDefault="00F316E1" w:rsidP="00F316E1">
      <w:pPr>
        <w:tabs>
          <w:tab w:val="left" w:pos="2835"/>
          <w:tab w:val="left" w:pos="3402"/>
        </w:tabs>
        <w:spacing w:after="120"/>
        <w:ind w:left="567" w:firstLine="567"/>
        <w:rPr>
          <w:rFonts w:asciiTheme="majorBidi" w:eastAsiaTheme="minorHAnsi" w:hAnsiTheme="majorBidi" w:cstheme="majorBidi"/>
        </w:rPr>
      </w:pPr>
      <w:r w:rsidRPr="00784F6A">
        <w:rPr>
          <w:rFonts w:asciiTheme="majorBidi" w:eastAsiaTheme="minorHAnsi" w:hAnsiTheme="majorBidi" w:cstheme="majorBidi"/>
        </w:rPr>
        <w:t xml:space="preserve">39.    </w:t>
      </w:r>
      <w:r w:rsidRPr="00784F6A">
        <w:rPr>
          <w:rFonts w:asciiTheme="majorBidi" w:eastAsiaTheme="minorHAnsi" w:hAnsiTheme="majorBidi" w:cstheme="majorBidi"/>
          <w:i/>
          <w:iCs/>
        </w:rPr>
        <w:t>Prie</w:t>
      </w:r>
      <w:r w:rsidRPr="00784F6A">
        <w:rPr>
          <w:rFonts w:asciiTheme="majorBidi" w:eastAsiaTheme="minorHAnsi" w:hAnsiTheme="majorBidi" w:cstheme="majorBidi"/>
        </w:rPr>
        <w:t xml:space="preserve"> le Fonds pour l</w:t>
      </w:r>
      <w:r w:rsidR="0059442D">
        <w:rPr>
          <w:rFonts w:asciiTheme="majorBidi" w:eastAsiaTheme="minorHAnsi" w:hAnsiTheme="majorBidi" w:cstheme="majorBidi"/>
        </w:rPr>
        <w:t>’</w:t>
      </w:r>
      <w:r w:rsidRPr="00784F6A">
        <w:rPr>
          <w:rFonts w:asciiTheme="majorBidi" w:eastAsiaTheme="minorHAnsi" w:hAnsiTheme="majorBidi" w:cstheme="majorBidi"/>
        </w:rPr>
        <w:t>environnement mondial de continuer à se concerter avec le secrétariat du Fonds vert pour le climat, conformément à leurs mandats respectifs, en vue de renforcer la collaboration et l</w:t>
      </w:r>
      <w:r w:rsidR="0059442D">
        <w:rPr>
          <w:rFonts w:asciiTheme="majorBidi" w:eastAsiaTheme="minorHAnsi" w:hAnsiTheme="majorBidi" w:cstheme="majorBidi"/>
        </w:rPr>
        <w:t>’</w:t>
      </w:r>
      <w:r w:rsidRPr="00784F6A">
        <w:rPr>
          <w:rFonts w:asciiTheme="majorBidi" w:eastAsiaTheme="minorHAnsi" w:hAnsiTheme="majorBidi" w:cstheme="majorBidi"/>
        </w:rPr>
        <w:t>appui à la Convention, notamment dans le cadre de la Vision à long terme sur la complémentarité, la cohérence et la collaboration entre le Fonds vert pour le climat et le Fonds pour l</w:t>
      </w:r>
      <w:r w:rsidR="0059442D">
        <w:rPr>
          <w:rFonts w:asciiTheme="majorBidi" w:eastAsiaTheme="minorHAnsi" w:hAnsiTheme="majorBidi" w:cstheme="majorBidi"/>
        </w:rPr>
        <w:t>’</w:t>
      </w:r>
      <w:r w:rsidRPr="00784F6A">
        <w:rPr>
          <w:rFonts w:asciiTheme="majorBidi" w:eastAsiaTheme="minorHAnsi" w:hAnsiTheme="majorBidi" w:cstheme="majorBidi"/>
        </w:rPr>
        <w:t>environnement Mondial</w:t>
      </w:r>
      <w:r w:rsidR="00202E35" w:rsidRPr="00784F6A">
        <w:rPr>
          <w:rFonts w:asciiTheme="majorBidi" w:eastAsiaTheme="minorHAnsi" w:hAnsiTheme="majorBidi" w:cstheme="majorBidi"/>
        </w:rPr>
        <w:t> </w:t>
      </w:r>
      <w:r w:rsidR="00B14B10" w:rsidRPr="00784F6A">
        <w:rPr>
          <w:rFonts w:asciiTheme="majorBidi" w:eastAsiaTheme="minorHAnsi" w:hAnsiTheme="majorBidi" w:cstheme="majorBidi"/>
        </w:rPr>
        <w:t>;</w:t>
      </w:r>
    </w:p>
    <w:p w14:paraId="0F0E9C83" w14:textId="77777777" w:rsidR="00414765" w:rsidRDefault="00B14B10" w:rsidP="00B14B10">
      <w:pPr>
        <w:tabs>
          <w:tab w:val="left" w:pos="2835"/>
          <w:tab w:val="left" w:pos="3402"/>
        </w:tabs>
        <w:spacing w:after="120"/>
        <w:ind w:left="567" w:firstLine="567"/>
      </w:pPr>
      <w:r w:rsidRPr="00784F6A">
        <w:t>40.</w:t>
      </w:r>
      <w:r w:rsidRPr="00784F6A">
        <w:tab/>
      </w:r>
      <w:r w:rsidR="00F316E1" w:rsidRPr="00784F6A">
        <w:rPr>
          <w:i/>
          <w:iCs/>
        </w:rPr>
        <w:t xml:space="preserve">Prie </w:t>
      </w:r>
      <w:r w:rsidR="00F316E1" w:rsidRPr="00784F6A">
        <w:t>la Secrétaire exécutive d</w:t>
      </w:r>
      <w:r w:rsidR="0059442D">
        <w:t>’</w:t>
      </w:r>
      <w:r w:rsidR="00F316E1" w:rsidRPr="00784F6A">
        <w:t>élaborer un projet de mandat pour le septième examen quadriennal de l</w:t>
      </w:r>
      <w:r w:rsidR="0059442D">
        <w:t>’</w:t>
      </w:r>
      <w:r w:rsidR="00F316E1" w:rsidRPr="00784F6A">
        <w:t xml:space="preserve">efficacité du </w:t>
      </w:r>
      <w:r w:rsidR="002F29BF" w:rsidRPr="00784F6A">
        <w:t>mécanisme de financement</w:t>
      </w:r>
      <w:r w:rsidR="00F316E1" w:rsidRPr="00784F6A">
        <w:t>,</w:t>
      </w:r>
      <w:r w:rsidR="00F91817">
        <w:t xml:space="preserve"> en tenant compte de la compilation de points de vue dont il est question dans l</w:t>
      </w:r>
      <w:r w:rsidR="0059442D">
        <w:t>’</w:t>
      </w:r>
      <w:r w:rsidR="00F91817">
        <w:t xml:space="preserve">annexe III à la présente décision, et </w:t>
      </w:r>
      <w:r w:rsidR="00F316E1" w:rsidRPr="00784F6A">
        <w:t>en veillant à ce que l</w:t>
      </w:r>
      <w:r w:rsidR="0059442D">
        <w:t>’</w:t>
      </w:r>
      <w:r w:rsidR="00F316E1" w:rsidRPr="00784F6A">
        <w:t>examen tienne compte des vues des peuples autochtones et communautés locales, des femmes et des jeunes, ainsi que des incidences éventuelles sur leurs droits, pour examen par l</w:t>
      </w:r>
      <w:r w:rsidR="0059442D">
        <w:t>’</w:t>
      </w:r>
      <w:r w:rsidR="00F316E1" w:rsidRPr="00784F6A">
        <w:t>Organe subsidiaire chargé de l</w:t>
      </w:r>
      <w:r w:rsidR="0059442D">
        <w:t>’</w:t>
      </w:r>
      <w:r w:rsidR="00F316E1" w:rsidRPr="00784F6A">
        <w:t>application à une réunion devant se tenir avant la dix-septième réunion de la Conférence des Parties et par la Conférence des Parties à sa dix-septième réun</w:t>
      </w:r>
      <w:r w:rsidR="00414765">
        <w:t>ion.</w:t>
      </w:r>
    </w:p>
    <w:p w14:paraId="3E970723" w14:textId="467DD0B5" w:rsidR="00414765" w:rsidRPr="00784F6A" w:rsidRDefault="00414765" w:rsidP="00B14B10">
      <w:pPr>
        <w:tabs>
          <w:tab w:val="left" w:pos="2835"/>
          <w:tab w:val="left" w:pos="3402"/>
        </w:tabs>
        <w:spacing w:after="120"/>
        <w:ind w:left="567" w:firstLine="567"/>
      </w:pPr>
      <w:r>
        <w:t>41.</w:t>
      </w:r>
      <w:r>
        <w:tab/>
      </w:r>
      <w:r>
        <w:rPr>
          <w:i/>
        </w:rPr>
        <w:t>Prie également</w:t>
      </w:r>
      <w:r>
        <w:t xml:space="preserve"> la Secrétaire exécutive de </w:t>
      </w:r>
      <w:r w:rsidR="00CF3FA3">
        <w:t>faire réaliser</w:t>
      </w:r>
      <w:r>
        <w:t xml:space="preserve"> une étude comparant le Fonds pour l</w:t>
      </w:r>
      <w:r w:rsidR="0059442D">
        <w:t>’</w:t>
      </w:r>
      <w:r>
        <w:t>env</w:t>
      </w:r>
      <w:r w:rsidR="001B1ED5">
        <w:t>ironnement mondial avec les</w:t>
      </w:r>
      <w:r>
        <w:t xml:space="preserve"> mécanismes financiers ou instruments similaires d</w:t>
      </w:r>
      <w:r w:rsidR="0059442D">
        <w:t>’</w:t>
      </w:r>
      <w:r w:rsidR="001B1ED5">
        <w:t xml:space="preserve">autres </w:t>
      </w:r>
      <w:r>
        <w:t>accords multilatéraux sur l</w:t>
      </w:r>
      <w:r w:rsidR="0059442D">
        <w:t>’</w:t>
      </w:r>
      <w:r>
        <w:t xml:space="preserve">environnement pertinents, y compris en ce qui concerne les modalités de financement et </w:t>
      </w:r>
      <w:r w:rsidR="00CF3FA3">
        <w:t>le résultats financiers</w:t>
      </w:r>
      <w:r>
        <w:t>, les critères et le processus de financement, les modalités d</w:t>
      </w:r>
      <w:r w:rsidR="0059442D">
        <w:t>’</w:t>
      </w:r>
      <w:r>
        <w:t>accès et de décaissement, le suivi et l</w:t>
      </w:r>
      <w:r w:rsidR="0059442D">
        <w:t>’</w:t>
      </w:r>
      <w:r>
        <w:t>évaluation, la gouvernance, l</w:t>
      </w:r>
      <w:r w:rsidR="0059442D">
        <w:t>’</w:t>
      </w:r>
      <w:r>
        <w:t>efficacit</w:t>
      </w:r>
      <w:r w:rsidR="001B1ED5">
        <w:t>é des coûts des opérations et leur</w:t>
      </w:r>
      <w:r>
        <w:t xml:space="preserve"> nature juridique, afin d</w:t>
      </w:r>
      <w:r w:rsidR="0059442D">
        <w:t>’</w:t>
      </w:r>
      <w:r>
        <w:t xml:space="preserve">éclairer les </w:t>
      </w:r>
      <w:r w:rsidR="00F35B4E">
        <w:t>débats</w:t>
      </w:r>
      <w:r>
        <w:t xml:space="preserve"> de l</w:t>
      </w:r>
      <w:r w:rsidR="0059442D">
        <w:t>’</w:t>
      </w:r>
      <w:r>
        <w:t>Organe subsidiaire chargé de l</w:t>
      </w:r>
      <w:r w:rsidR="0059442D">
        <w:t>’</w:t>
      </w:r>
      <w:r>
        <w:t xml:space="preserve">application avant la dix-huitième </w:t>
      </w:r>
      <w:r w:rsidR="001B1ED5">
        <w:t>réunion</w:t>
      </w:r>
      <w:r>
        <w:t xml:space="preserve"> de la Conférence des Parties.</w:t>
      </w:r>
    </w:p>
    <w:p w14:paraId="42F9905F" w14:textId="513ADAB9" w:rsidR="00B14B10" w:rsidRPr="00784F6A" w:rsidRDefault="00B14B10" w:rsidP="00B14B10">
      <w:pPr>
        <w:keepNext/>
        <w:keepLines/>
        <w:tabs>
          <w:tab w:val="left" w:pos="2835"/>
          <w:tab w:val="left" w:pos="3402"/>
        </w:tabs>
        <w:spacing w:before="240" w:after="120"/>
        <w:ind w:left="567"/>
        <w:jc w:val="left"/>
        <w:rPr>
          <w:b/>
          <w:sz w:val="24"/>
          <w:szCs w:val="24"/>
          <w:lang w:bidi="ar-SY"/>
        </w:rPr>
      </w:pPr>
      <w:bookmarkStart w:id="3" w:name="_Toc118354994"/>
      <w:r w:rsidRPr="00784F6A">
        <w:rPr>
          <w:b/>
          <w:sz w:val="24"/>
          <w:szCs w:val="24"/>
          <w:lang w:bidi="ar-SY"/>
        </w:rPr>
        <w:t>Annex</w:t>
      </w:r>
      <w:bookmarkEnd w:id="3"/>
      <w:r w:rsidR="00541F01" w:rsidRPr="00784F6A">
        <w:rPr>
          <w:b/>
          <w:sz w:val="24"/>
          <w:szCs w:val="24"/>
          <w:lang w:bidi="ar-SY"/>
        </w:rPr>
        <w:t>e</w:t>
      </w:r>
      <w:r w:rsidRPr="00784F6A">
        <w:rPr>
          <w:b/>
          <w:sz w:val="24"/>
          <w:szCs w:val="24"/>
          <w:lang w:bidi="ar-SY"/>
        </w:rPr>
        <w:t xml:space="preserve"> I</w:t>
      </w:r>
      <w:bookmarkStart w:id="4" w:name="_Toc118354995"/>
      <w:r w:rsidRPr="00784F6A">
        <w:rPr>
          <w:b/>
          <w:sz w:val="24"/>
          <w:szCs w:val="24"/>
          <w:lang w:bidi="ar-SY"/>
        </w:rPr>
        <w:t xml:space="preserve"> </w:t>
      </w:r>
      <w:r w:rsidRPr="00784F6A">
        <w:rPr>
          <w:b/>
          <w:sz w:val="24"/>
          <w:szCs w:val="24"/>
          <w:lang w:bidi="ar-SY"/>
        </w:rPr>
        <w:br/>
      </w:r>
      <w:bookmarkEnd w:id="4"/>
      <w:r w:rsidR="00541F01" w:rsidRPr="00784F6A">
        <w:rPr>
          <w:b/>
          <w:sz w:val="24"/>
          <w:szCs w:val="24"/>
          <w:lang w:bidi="ar-SY"/>
        </w:rPr>
        <w:t xml:space="preserve">Cadre quadriennal axé sur les résultats des priorités du programme sur la </w:t>
      </w:r>
      <w:r w:rsidR="00E357CE" w:rsidRPr="00784F6A">
        <w:rPr>
          <w:b/>
          <w:bCs/>
        </w:rPr>
        <w:t>biodiversité</w:t>
      </w:r>
      <w:r w:rsidR="00541F01" w:rsidRPr="00784F6A">
        <w:rPr>
          <w:b/>
          <w:sz w:val="24"/>
          <w:szCs w:val="24"/>
          <w:lang w:bidi="ar-SY"/>
        </w:rPr>
        <w:t xml:space="preserve"> de la Convention sur la diversité biologique et de ses Protocoles </w:t>
      </w:r>
      <w:r w:rsidR="00E357CE" w:rsidRPr="00784F6A">
        <w:rPr>
          <w:b/>
          <w:sz w:val="24"/>
          <w:szCs w:val="24"/>
          <w:lang w:bidi="ar-SY"/>
        </w:rPr>
        <w:t>pour</w:t>
      </w:r>
      <w:r w:rsidR="00541F01" w:rsidRPr="00784F6A">
        <w:rPr>
          <w:b/>
          <w:sz w:val="24"/>
          <w:szCs w:val="24"/>
          <w:lang w:bidi="ar-SY"/>
        </w:rPr>
        <w:t xml:space="preserve"> la neuvième reconstitution </w:t>
      </w:r>
      <w:r w:rsidR="00CF3FA3">
        <w:rPr>
          <w:b/>
          <w:sz w:val="24"/>
          <w:szCs w:val="24"/>
          <w:lang w:bidi="ar-SY"/>
        </w:rPr>
        <w:t xml:space="preserve">des ressources </w:t>
      </w:r>
      <w:r w:rsidR="00184228" w:rsidRPr="00784F6A">
        <w:rPr>
          <w:b/>
          <w:sz w:val="24"/>
          <w:szCs w:val="24"/>
          <w:lang w:bidi="ar-SY"/>
        </w:rPr>
        <w:t>de la Caisse</w:t>
      </w:r>
      <w:r w:rsidR="00541F01" w:rsidRPr="00784F6A">
        <w:rPr>
          <w:b/>
          <w:sz w:val="24"/>
          <w:szCs w:val="24"/>
          <w:lang w:bidi="ar-SY"/>
        </w:rPr>
        <w:t xml:space="preserve"> du Fonds pour l</w:t>
      </w:r>
      <w:r w:rsidR="0059442D">
        <w:rPr>
          <w:b/>
          <w:sz w:val="24"/>
          <w:szCs w:val="24"/>
          <w:lang w:bidi="ar-SY"/>
        </w:rPr>
        <w:t>’</w:t>
      </w:r>
      <w:r w:rsidR="00541F01" w:rsidRPr="00784F6A">
        <w:rPr>
          <w:b/>
          <w:sz w:val="24"/>
          <w:szCs w:val="24"/>
          <w:lang w:bidi="ar-SY"/>
        </w:rPr>
        <w:t>environnement mondial (2026-2030).</w:t>
      </w:r>
      <w:r w:rsidRPr="00784F6A">
        <w:rPr>
          <w:b/>
          <w:sz w:val="24"/>
          <w:szCs w:val="24"/>
          <w:lang w:bidi="ar-SY"/>
        </w:rPr>
        <w:t xml:space="preserve"> </w:t>
      </w:r>
    </w:p>
    <w:p w14:paraId="7B24715D" w14:textId="77777777" w:rsidR="00B14B10" w:rsidRPr="00784F6A" w:rsidRDefault="00B14B10" w:rsidP="00B14B10">
      <w:pPr>
        <w:keepNext/>
        <w:keepLines/>
        <w:tabs>
          <w:tab w:val="left" w:pos="2835"/>
          <w:tab w:val="left" w:pos="3402"/>
        </w:tabs>
        <w:spacing w:before="240" w:after="120"/>
        <w:ind w:left="567" w:hanging="567"/>
        <w:jc w:val="left"/>
        <w:rPr>
          <w:b/>
        </w:rPr>
      </w:pPr>
      <w:r w:rsidRPr="00784F6A">
        <w:rPr>
          <w:b/>
        </w:rPr>
        <w:t>I.</w:t>
      </w:r>
      <w:r w:rsidRPr="00784F6A">
        <w:rPr>
          <w:b/>
        </w:rPr>
        <w:tab/>
        <w:t>Objecti</w:t>
      </w:r>
      <w:r w:rsidR="00541F01" w:rsidRPr="00784F6A">
        <w:rPr>
          <w:b/>
        </w:rPr>
        <w:t>f</w:t>
      </w:r>
    </w:p>
    <w:p w14:paraId="401DE95B" w14:textId="77777777" w:rsidR="00B14B10" w:rsidRPr="00784F6A" w:rsidRDefault="00B14B10" w:rsidP="00CF3FA3">
      <w:pPr>
        <w:tabs>
          <w:tab w:val="left" w:pos="2835"/>
          <w:tab w:val="left" w:pos="3402"/>
        </w:tabs>
        <w:spacing w:after="120"/>
        <w:ind w:left="567"/>
      </w:pPr>
      <w:r w:rsidRPr="00784F6A">
        <w:t>1.</w:t>
      </w:r>
      <w:r w:rsidRPr="00784F6A">
        <w:tab/>
      </w:r>
      <w:r w:rsidR="00541F01" w:rsidRPr="00784F6A">
        <w:t xml:space="preserve">Le présent cadre quadriennal axé sur les résultats des priorités du programme sur la </w:t>
      </w:r>
      <w:r w:rsidR="00E357CE" w:rsidRPr="00784F6A">
        <w:t xml:space="preserve">biodiversité </w:t>
      </w:r>
      <w:r w:rsidR="00541F01" w:rsidRPr="00784F6A">
        <w:t>sert d</w:t>
      </w:r>
      <w:r w:rsidR="0059442D">
        <w:t>’</w:t>
      </w:r>
      <w:r w:rsidR="00541F01" w:rsidRPr="00784F6A">
        <w:t xml:space="preserve">orientation </w:t>
      </w:r>
      <w:r w:rsidR="00BF1684" w:rsidRPr="00784F6A">
        <w:t>relative à</w:t>
      </w:r>
      <w:r w:rsidR="00541F01" w:rsidRPr="00784F6A">
        <w:t xml:space="preserve"> la Convention sur la diversité biologique</w:t>
      </w:r>
      <w:r w:rsidR="00C37C95" w:rsidRPr="00784F6A">
        <w:rPr>
          <w:rStyle w:val="Appelnotedebasdep"/>
        </w:rPr>
        <w:footnoteReference w:id="14"/>
      </w:r>
      <w:r w:rsidR="00C37C95" w:rsidRPr="00784F6A">
        <w:t xml:space="preserve"> </w:t>
      </w:r>
      <w:r w:rsidR="00541F01" w:rsidRPr="00784F6A">
        <w:t>et ses Protocoles à l</w:t>
      </w:r>
      <w:r w:rsidR="0059442D">
        <w:t>’</w:t>
      </w:r>
      <w:r w:rsidR="00541F01" w:rsidRPr="00784F6A">
        <w:t>intention du Fonds pour l</w:t>
      </w:r>
      <w:r w:rsidR="0059442D">
        <w:t>’</w:t>
      </w:r>
      <w:r w:rsidR="00541F01" w:rsidRPr="00784F6A">
        <w:t>environnement mondial pour la neuvième reconstitution de sa Caisse (2026-2030).</w:t>
      </w:r>
    </w:p>
    <w:p w14:paraId="568E298A" w14:textId="516384F5" w:rsidR="00C37C95" w:rsidRPr="00784F6A" w:rsidRDefault="00B14B10" w:rsidP="00CF3FA3">
      <w:pPr>
        <w:tabs>
          <w:tab w:val="left" w:pos="2835"/>
          <w:tab w:val="left" w:pos="3402"/>
        </w:tabs>
        <w:spacing w:after="120"/>
        <w:ind w:left="567"/>
      </w:pPr>
      <w:r w:rsidRPr="00784F6A">
        <w:t>2.</w:t>
      </w:r>
      <w:r w:rsidRPr="00784F6A">
        <w:tab/>
      </w:r>
      <w:r w:rsidR="00C37C95" w:rsidRPr="00784F6A">
        <w:t xml:space="preserve">La Conférence des Parties à la Convention fournit ce cadre pour </w:t>
      </w:r>
      <w:r w:rsidR="00CF3FA3">
        <w:t>aider</w:t>
      </w:r>
      <w:r w:rsidR="00C37C95" w:rsidRPr="00784F6A">
        <w:t xml:space="preserve"> le secrétariat du Fonds pour l</w:t>
      </w:r>
      <w:r w:rsidR="0059442D">
        <w:t>’</w:t>
      </w:r>
      <w:r w:rsidR="00C37C95" w:rsidRPr="00784F6A">
        <w:t xml:space="preserve">environnement mondial et les participants aux négociations sur la reconstitution des ressources </w:t>
      </w:r>
      <w:r w:rsidR="00CF3FA3">
        <w:t>à</w:t>
      </w:r>
      <w:r w:rsidR="00C37C95" w:rsidRPr="00784F6A">
        <w:t xml:space="preserve"> déterminer les orientations programmatiques et les recommandations de politique générale pour la neuvième </w:t>
      </w:r>
      <w:r w:rsidR="00CF3FA3">
        <w:t>reconstitution des ressources de la Caisse</w:t>
      </w:r>
      <w:r w:rsidR="00C37C95" w:rsidRPr="00784F6A">
        <w:t xml:space="preserve"> du Fonds pour l</w:t>
      </w:r>
      <w:r w:rsidR="0059442D">
        <w:t>’</w:t>
      </w:r>
      <w:r w:rsidR="00C37C95" w:rsidRPr="00784F6A">
        <w:t>environnement mondial.</w:t>
      </w:r>
    </w:p>
    <w:p w14:paraId="26DC790A" w14:textId="77777777" w:rsidR="00B14B10" w:rsidRPr="00784F6A" w:rsidRDefault="00C37C95" w:rsidP="00CF3FA3">
      <w:pPr>
        <w:tabs>
          <w:tab w:val="left" w:pos="2835"/>
          <w:tab w:val="left" w:pos="3402"/>
        </w:tabs>
        <w:spacing w:after="120"/>
        <w:ind w:left="567"/>
      </w:pPr>
      <w:r w:rsidRPr="00784F6A">
        <w:t>3.      Le cadre est également fourni dans le contexte du mandat du Fonds pour l</w:t>
      </w:r>
      <w:r w:rsidR="0059442D">
        <w:t>’</w:t>
      </w:r>
      <w:r w:rsidRPr="00784F6A">
        <w:t>environnement mondial, qui est de fournir des ressources aux fins de l</w:t>
      </w:r>
      <w:r w:rsidR="0059442D">
        <w:t>’</w:t>
      </w:r>
      <w:r w:rsidRPr="00784F6A">
        <w:t>amélioration de l</w:t>
      </w:r>
      <w:r w:rsidR="0059442D">
        <w:t>’</w:t>
      </w:r>
      <w:r w:rsidRPr="00784F6A">
        <w:t xml:space="preserve">environnement, et du mandat </w:t>
      </w:r>
      <w:r w:rsidRPr="00784F6A">
        <w:lastRenderedPageBreak/>
        <w:t>confié au Fonds par la Conférence des Parties dans son mémorandum d</w:t>
      </w:r>
      <w:r w:rsidR="0059442D">
        <w:t>’</w:t>
      </w:r>
      <w:r w:rsidRPr="00784F6A">
        <w:t>accord avec le Conseil du Fonds pour l</w:t>
      </w:r>
      <w:r w:rsidR="0059442D">
        <w:t>’</w:t>
      </w:r>
      <w:r w:rsidRPr="00784F6A">
        <w:t>environnement mondial</w:t>
      </w:r>
      <w:r w:rsidR="00B14B10" w:rsidRPr="00784F6A">
        <w:rPr>
          <w:vertAlign w:val="superscript"/>
        </w:rPr>
        <w:footnoteReference w:id="15"/>
      </w:r>
      <w:r w:rsidRPr="00784F6A">
        <w:t>.</w:t>
      </w:r>
    </w:p>
    <w:p w14:paraId="731C294E" w14:textId="49BE971A" w:rsidR="00B14B10" w:rsidRPr="00784F6A" w:rsidRDefault="00B14B10" w:rsidP="00CF3FA3">
      <w:pPr>
        <w:tabs>
          <w:tab w:val="left" w:pos="2835"/>
          <w:tab w:val="left" w:pos="3402"/>
        </w:tabs>
        <w:spacing w:after="120"/>
        <w:ind w:left="567"/>
      </w:pPr>
      <w:r w:rsidRPr="00784F6A">
        <w:t>4.</w:t>
      </w:r>
      <w:r w:rsidRPr="00784F6A">
        <w:tab/>
      </w:r>
      <w:r w:rsidR="00C37C95" w:rsidRPr="00784F6A">
        <w:t>Ce cadre s</w:t>
      </w:r>
      <w:r w:rsidR="0059442D">
        <w:t>’</w:t>
      </w:r>
      <w:r w:rsidR="00C37C95" w:rsidRPr="00784F6A">
        <w:t xml:space="preserve">appuie sur la Convention et ses </w:t>
      </w:r>
      <w:r w:rsidR="00CF3FA3">
        <w:t>P</w:t>
      </w:r>
      <w:r w:rsidR="00C37C95" w:rsidRPr="00784F6A">
        <w:t>rotocoles ainsi que sur le Cadre mondial de la biodiversité de Kunming-Montréal</w:t>
      </w:r>
      <w:r w:rsidR="00C37C95" w:rsidRPr="00784F6A">
        <w:rPr>
          <w:snapToGrid w:val="0"/>
          <w:kern w:val="22"/>
          <w:vertAlign w:val="superscript"/>
          <w:lang w:eastAsia="zh-CN"/>
        </w:rPr>
        <w:footnoteReference w:id="16"/>
      </w:r>
      <w:r w:rsidR="00C37C95" w:rsidRPr="00784F6A">
        <w:rPr>
          <w:snapToGrid w:val="0"/>
          <w:kern w:val="22"/>
          <w:lang w:eastAsia="zh-CN"/>
        </w:rPr>
        <w:t xml:space="preserve"> </w:t>
      </w:r>
      <w:r w:rsidR="00C37C95" w:rsidRPr="00784F6A">
        <w:t xml:space="preserve">pour définir les priorités stratégiques du </w:t>
      </w:r>
      <w:r w:rsidR="002F29BF" w:rsidRPr="00784F6A">
        <w:t>mécanisme de financement</w:t>
      </w:r>
      <w:r w:rsidR="00C37C95" w:rsidRPr="00784F6A">
        <w:t xml:space="preserve"> de la Convention, qui devraient être mises en œuvre par le Fonds pour l</w:t>
      </w:r>
      <w:r w:rsidR="0059442D">
        <w:t>’</w:t>
      </w:r>
      <w:r w:rsidR="00C37C95" w:rsidRPr="00784F6A">
        <w:t>environnement mondial grâce à ses orientations programmatiques pour la neuvième reconstitution des ressources.</w:t>
      </w:r>
    </w:p>
    <w:p w14:paraId="1A6989C7" w14:textId="77777777" w:rsidR="00C37C95" w:rsidRPr="00784F6A" w:rsidRDefault="00B14B10" w:rsidP="00CF3FA3">
      <w:pPr>
        <w:tabs>
          <w:tab w:val="left" w:pos="2835"/>
          <w:tab w:val="left" w:pos="3402"/>
        </w:tabs>
        <w:spacing w:after="120"/>
        <w:ind w:left="567"/>
      </w:pPr>
      <w:r w:rsidRPr="00784F6A">
        <w:t>5.</w:t>
      </w:r>
      <w:r w:rsidRPr="00784F6A">
        <w:tab/>
      </w:r>
      <w:r w:rsidR="00C37C95" w:rsidRPr="00784F6A">
        <w:t>Il est entendu que, dans le cadre actuel des priorités du programme, le Cadre mondial de la biodiversité de Kunming-Montréal devrait être utilisé comme plan stratégique pour la mise en œuvre de la Convention et de ses Protocoles au cours de la période allant jusqu</w:t>
      </w:r>
      <w:r w:rsidR="0059442D">
        <w:t>’</w:t>
      </w:r>
      <w:r w:rsidR="00C37C95" w:rsidRPr="00784F6A">
        <w:t>à 2030.</w:t>
      </w:r>
    </w:p>
    <w:p w14:paraId="5DD7551B" w14:textId="77777777" w:rsidR="00C37C95" w:rsidRPr="00784F6A" w:rsidRDefault="00C37C95" w:rsidP="00CF3FA3">
      <w:pPr>
        <w:tabs>
          <w:tab w:val="left" w:pos="2835"/>
          <w:tab w:val="left" w:pos="3402"/>
        </w:tabs>
        <w:spacing w:after="120"/>
        <w:ind w:left="567"/>
      </w:pPr>
      <w:r w:rsidRPr="00784F6A">
        <w:t>6.      En particulier, les objectifs et cibles du Cadre mondial de la biodiversité de Kunming-Montréal orientent les résultats du présent cadre quadriennal, étant entendu que la période de la neuvième reconstitution des ressources coïncide avec la période de quatre ans menant à l</w:t>
      </w:r>
      <w:r w:rsidR="0059442D">
        <w:t>’</w:t>
      </w:r>
      <w:r w:rsidRPr="00784F6A">
        <w:t>échéance de 2030 pour la réalisation des cibles, tout en reconnaissant que chacun des trois objectifs de la Convention devrait être abordé par le Fonds mondial pour l</w:t>
      </w:r>
      <w:r w:rsidR="0059442D">
        <w:t>’</w:t>
      </w:r>
      <w:r w:rsidRPr="00784F6A">
        <w:t>environnement de manière équilibrée lors de la conception et de la mise en œuvre de ses orientations programmatiques et de ses recommandations de politique générale pour la neuvième reconstitution des ressources.</w:t>
      </w:r>
    </w:p>
    <w:p w14:paraId="28E8E765" w14:textId="77777777" w:rsidR="00B14B10" w:rsidRPr="00784F6A" w:rsidRDefault="00C37C95" w:rsidP="00CF3FA3">
      <w:pPr>
        <w:tabs>
          <w:tab w:val="left" w:pos="2835"/>
          <w:tab w:val="left" w:pos="3402"/>
        </w:tabs>
        <w:spacing w:after="120"/>
        <w:ind w:left="567"/>
      </w:pPr>
      <w:r w:rsidRPr="00784F6A">
        <w:t>7.      Le caractère intégré et indivisible des composantes du Cadre mondial de la biodiversité de Kunming-Montréal, qui comprennent les considérations relatives à sa mise en œuvre (sect. C du Cadre), le mécanisme de mise en œuvre et d</w:t>
      </w:r>
      <w:r w:rsidR="0059442D">
        <w:t>’</w:t>
      </w:r>
      <w:r w:rsidRPr="00784F6A">
        <w:t>appui et les conditions propices (sect. I) ainsi que la responsabilité et la transparence (sect. J), est pris en compte dans le présent cadre, de même que l</w:t>
      </w:r>
      <w:r w:rsidR="0059442D">
        <w:t>’</w:t>
      </w:r>
      <w:r w:rsidRPr="00784F6A">
        <w:t>opérationnalisation du Fonds du Cadre mondial de la biodiversité et l</w:t>
      </w:r>
      <w:r w:rsidR="0059442D">
        <w:t>’</w:t>
      </w:r>
      <w:r w:rsidRPr="00784F6A">
        <w:t>appui complémentaire qu</w:t>
      </w:r>
      <w:r w:rsidR="0059442D">
        <w:t>’</w:t>
      </w:r>
      <w:r w:rsidRPr="00784F6A">
        <w:t>il apporte au Fonds pour l</w:t>
      </w:r>
      <w:r w:rsidR="0059442D">
        <w:t>’</w:t>
      </w:r>
      <w:r w:rsidRPr="00784F6A">
        <w:t>environnement mondial pour faciliter la mise en œuvre du Cadre mondial de la biodiversité de Kunming-Montréal</w:t>
      </w:r>
      <w:r w:rsidR="00B14B10" w:rsidRPr="00784F6A">
        <w:t>.</w:t>
      </w:r>
    </w:p>
    <w:p w14:paraId="0A01C777" w14:textId="37E63FFD" w:rsidR="00B14B10" w:rsidRPr="00784F6A" w:rsidRDefault="00B14B10" w:rsidP="00CF3FA3">
      <w:pPr>
        <w:tabs>
          <w:tab w:val="left" w:pos="2835"/>
          <w:tab w:val="left" w:pos="3402"/>
        </w:tabs>
        <w:spacing w:after="120"/>
        <w:ind w:left="567"/>
      </w:pPr>
      <w:r w:rsidRPr="00784F6A">
        <w:t>8.</w:t>
      </w:r>
      <w:r w:rsidRPr="00784F6A">
        <w:tab/>
      </w:r>
      <w:r w:rsidR="003C072A" w:rsidRPr="00784F6A">
        <w:rPr>
          <w:rFonts w:eastAsia="Calibri"/>
        </w:rPr>
        <w:t>Reconnaissant que le Cadre mondial de la biodiversité de Kunming-Montréal est pertinent pour toutes les conventions relatives à la biodiversité et autres accords multilatéraux sur l</w:t>
      </w:r>
      <w:r w:rsidR="0059442D">
        <w:rPr>
          <w:rFonts w:eastAsia="Calibri"/>
        </w:rPr>
        <w:t>’</w:t>
      </w:r>
      <w:r w:rsidR="003C072A" w:rsidRPr="00784F6A">
        <w:rPr>
          <w:rFonts w:eastAsia="Calibri"/>
        </w:rPr>
        <w:t>environnement, le présent cadre vise à promouvoir la mise en œuvre de mesures complémentaires susceptibles de renforcer les synergies programmatiques et l</w:t>
      </w:r>
      <w:r w:rsidR="0059442D">
        <w:rPr>
          <w:rFonts w:eastAsia="Calibri"/>
        </w:rPr>
        <w:t>’</w:t>
      </w:r>
      <w:r w:rsidR="003C072A" w:rsidRPr="00784F6A">
        <w:rPr>
          <w:rFonts w:eastAsia="Calibri"/>
        </w:rPr>
        <w:t xml:space="preserve">efficacité entre la Convention sur la diversité biologique et ses </w:t>
      </w:r>
      <w:r w:rsidR="00CF3FA3">
        <w:rPr>
          <w:rFonts w:eastAsia="Calibri"/>
        </w:rPr>
        <w:t>P</w:t>
      </w:r>
      <w:r w:rsidR="003C072A" w:rsidRPr="00784F6A">
        <w:rPr>
          <w:rFonts w:eastAsia="Calibri"/>
        </w:rPr>
        <w:t>rotocoles et d</w:t>
      </w:r>
      <w:r w:rsidR="0059442D">
        <w:rPr>
          <w:rFonts w:eastAsia="Calibri"/>
        </w:rPr>
        <w:t>’</w:t>
      </w:r>
      <w:r w:rsidR="003C072A" w:rsidRPr="00784F6A">
        <w:rPr>
          <w:rFonts w:eastAsia="Calibri"/>
        </w:rPr>
        <w:t>autres conventions relatives à la biodiversité, accords et cadres multilatéraux sur l</w:t>
      </w:r>
      <w:r w:rsidR="0059442D">
        <w:rPr>
          <w:rFonts w:eastAsia="Calibri"/>
        </w:rPr>
        <w:t>’</w:t>
      </w:r>
      <w:r w:rsidR="003C072A" w:rsidRPr="00784F6A">
        <w:rPr>
          <w:rFonts w:eastAsia="Calibri"/>
        </w:rPr>
        <w:t>environnement, pertinents pour le Cadre mondial de la biodiversité de Kunming-Montréal et le mandat du Fonds pour l</w:t>
      </w:r>
      <w:r w:rsidR="0059442D">
        <w:rPr>
          <w:rFonts w:eastAsia="Calibri"/>
        </w:rPr>
        <w:t>’</w:t>
      </w:r>
      <w:r w:rsidR="003C072A" w:rsidRPr="00784F6A">
        <w:rPr>
          <w:rFonts w:eastAsia="Calibri"/>
        </w:rPr>
        <w:t>environnement mondial</w:t>
      </w:r>
      <w:r w:rsidR="00656D3B" w:rsidRPr="00784F6A">
        <w:rPr>
          <w:rFonts w:eastAsia="Calibri"/>
        </w:rPr>
        <w:t>,</w:t>
      </w:r>
      <w:r w:rsidR="00656D3B" w:rsidRPr="00784F6A">
        <w:t xml:space="preserve"> </w:t>
      </w:r>
      <w:r w:rsidR="00656D3B" w:rsidRPr="00784F6A">
        <w:rPr>
          <w:rFonts w:eastAsia="Calibri"/>
        </w:rPr>
        <w:t>tout en reconnaissant la nécessité d</w:t>
      </w:r>
      <w:r w:rsidR="0059442D">
        <w:rPr>
          <w:rFonts w:eastAsia="Calibri"/>
        </w:rPr>
        <w:t>’</w:t>
      </w:r>
      <w:r w:rsidR="00656D3B" w:rsidRPr="00784F6A">
        <w:rPr>
          <w:rFonts w:eastAsia="Calibri"/>
        </w:rPr>
        <w:t>améliorer sensiblement la transparence et les rapports y afférents</w:t>
      </w:r>
      <w:r w:rsidRPr="00784F6A">
        <w:rPr>
          <w:rFonts w:eastAsia="Calibri"/>
        </w:rPr>
        <w:t>.</w:t>
      </w:r>
    </w:p>
    <w:p w14:paraId="014DD56F" w14:textId="77777777" w:rsidR="00B14B10" w:rsidRPr="00784F6A" w:rsidRDefault="00B14B10" w:rsidP="00B14B10">
      <w:pPr>
        <w:keepNext/>
        <w:keepLines/>
        <w:tabs>
          <w:tab w:val="left" w:pos="2835"/>
          <w:tab w:val="left" w:pos="3402"/>
        </w:tabs>
        <w:spacing w:before="240" w:after="120"/>
        <w:ind w:left="567" w:hanging="567"/>
        <w:jc w:val="left"/>
        <w:rPr>
          <w:bCs/>
        </w:rPr>
      </w:pPr>
      <w:r w:rsidRPr="00784F6A">
        <w:rPr>
          <w:b/>
          <w:bCs/>
        </w:rPr>
        <w:t>II.</w:t>
      </w:r>
      <w:r w:rsidRPr="00784F6A">
        <w:rPr>
          <w:b/>
          <w:bCs/>
        </w:rPr>
        <w:tab/>
      </w:r>
      <w:r w:rsidR="003C072A" w:rsidRPr="00784F6A">
        <w:rPr>
          <w:b/>
        </w:rPr>
        <w:t>Éléments</w:t>
      </w:r>
    </w:p>
    <w:p w14:paraId="2201B574" w14:textId="77777777" w:rsidR="00B14B10" w:rsidRPr="00784F6A" w:rsidRDefault="00B14B10" w:rsidP="00CF3FA3">
      <w:pPr>
        <w:tabs>
          <w:tab w:val="left" w:pos="2835"/>
          <w:tab w:val="left" w:pos="3402"/>
        </w:tabs>
        <w:spacing w:after="120"/>
        <w:ind w:left="567"/>
      </w:pPr>
      <w:r w:rsidRPr="00784F6A">
        <w:t>9.</w:t>
      </w:r>
      <w:r w:rsidRPr="00784F6A">
        <w:tab/>
      </w:r>
      <w:r w:rsidR="003C072A" w:rsidRPr="00784F6A">
        <w:t xml:space="preserve">Le cadre quadriennal axé sur les résultats des priorités du programme sur la </w:t>
      </w:r>
      <w:r w:rsidR="00E357CE" w:rsidRPr="00784F6A">
        <w:t xml:space="preserve">biodiversité </w:t>
      </w:r>
      <w:r w:rsidR="003C072A" w:rsidRPr="00784F6A">
        <w:t>pour la période</w:t>
      </w:r>
      <w:r w:rsidR="00436638" w:rsidRPr="00784F6A">
        <w:t> </w:t>
      </w:r>
      <w:r w:rsidR="003C072A" w:rsidRPr="00784F6A">
        <w:t>2026-2030 comprend les éléments suivants relevant de la Convention sur la diversité biologique et de ses Protocoles pour lesquels un appui efficace à la mise en œuvre doit être fourni</w:t>
      </w:r>
      <w:r w:rsidR="00436638" w:rsidRPr="00784F6A">
        <w:t> </w:t>
      </w:r>
      <w:r w:rsidRPr="00784F6A">
        <w:t>:</w:t>
      </w:r>
    </w:p>
    <w:p w14:paraId="369AEA79" w14:textId="77777777" w:rsidR="003C072A" w:rsidRPr="00784F6A" w:rsidRDefault="00B14B10" w:rsidP="003C072A">
      <w:pPr>
        <w:tabs>
          <w:tab w:val="left" w:pos="2835"/>
          <w:tab w:val="left" w:pos="3402"/>
        </w:tabs>
        <w:spacing w:after="120"/>
        <w:ind w:left="567" w:firstLine="567"/>
        <w:rPr>
          <w:iCs/>
        </w:rPr>
      </w:pPr>
      <w:bookmarkStart w:id="5" w:name="_Hlk163904595"/>
      <w:r w:rsidRPr="00784F6A">
        <w:rPr>
          <w:iCs/>
        </w:rPr>
        <w:t>a)</w:t>
      </w:r>
      <w:r w:rsidRPr="00784F6A">
        <w:rPr>
          <w:iCs/>
        </w:rPr>
        <w:tab/>
      </w:r>
      <w:bookmarkEnd w:id="5"/>
      <w:r w:rsidR="00E3050A" w:rsidRPr="00784F6A">
        <w:rPr>
          <w:iCs/>
        </w:rPr>
        <w:t>La m</w:t>
      </w:r>
      <w:r w:rsidR="003C072A" w:rsidRPr="00784F6A">
        <w:rPr>
          <w:iCs/>
        </w:rPr>
        <w:t>ise en œuvre équilibrée des trois objectifs de la Convention</w:t>
      </w:r>
      <w:r w:rsidR="00202E35" w:rsidRPr="00784F6A">
        <w:rPr>
          <w:iCs/>
        </w:rPr>
        <w:t> </w:t>
      </w:r>
      <w:r w:rsidR="003C072A" w:rsidRPr="00784F6A">
        <w:rPr>
          <w:iCs/>
        </w:rPr>
        <w:t>;</w:t>
      </w:r>
    </w:p>
    <w:p w14:paraId="7022064C" w14:textId="77777777" w:rsidR="003C072A" w:rsidRPr="00784F6A" w:rsidRDefault="003C072A" w:rsidP="003C072A">
      <w:pPr>
        <w:tabs>
          <w:tab w:val="left" w:pos="2835"/>
          <w:tab w:val="left" w:pos="3402"/>
        </w:tabs>
        <w:spacing w:after="120"/>
        <w:ind w:left="567" w:firstLine="567"/>
        <w:rPr>
          <w:iCs/>
        </w:rPr>
      </w:pPr>
      <w:r w:rsidRPr="00784F6A">
        <w:rPr>
          <w:iCs/>
        </w:rPr>
        <w:t xml:space="preserve">b) </w:t>
      </w:r>
      <w:r w:rsidRPr="00784F6A">
        <w:rPr>
          <w:iCs/>
        </w:rPr>
        <w:tab/>
      </w:r>
      <w:r w:rsidR="00E3050A" w:rsidRPr="00784F6A">
        <w:rPr>
          <w:iCs/>
        </w:rPr>
        <w:t>Le C</w:t>
      </w:r>
      <w:r w:rsidRPr="00784F6A">
        <w:rPr>
          <w:iCs/>
        </w:rPr>
        <w:t>adre mondial de la biodiversité de Kunming-Montréal, y compris chacun de ses objectifs et cibles, qui définissent les résultats attendus</w:t>
      </w:r>
      <w:r w:rsidR="00202E35" w:rsidRPr="00784F6A">
        <w:rPr>
          <w:iCs/>
        </w:rPr>
        <w:t> </w:t>
      </w:r>
      <w:r w:rsidRPr="00784F6A">
        <w:rPr>
          <w:iCs/>
        </w:rPr>
        <w:t>;</w:t>
      </w:r>
    </w:p>
    <w:p w14:paraId="64588E23" w14:textId="77777777" w:rsidR="003C072A" w:rsidRPr="00784F6A" w:rsidRDefault="003C072A" w:rsidP="003C072A">
      <w:pPr>
        <w:tabs>
          <w:tab w:val="left" w:pos="2835"/>
          <w:tab w:val="left" w:pos="3402"/>
        </w:tabs>
        <w:spacing w:after="120"/>
        <w:ind w:left="567" w:firstLine="567"/>
        <w:rPr>
          <w:iCs/>
        </w:rPr>
      </w:pPr>
      <w:r w:rsidRPr="00784F6A">
        <w:rPr>
          <w:iCs/>
        </w:rPr>
        <w:t xml:space="preserve">c) </w:t>
      </w:r>
      <w:r w:rsidRPr="00784F6A">
        <w:rPr>
          <w:iCs/>
        </w:rPr>
        <w:tab/>
      </w:r>
      <w:r w:rsidR="00E3050A" w:rsidRPr="00784F6A">
        <w:rPr>
          <w:iCs/>
        </w:rPr>
        <w:t>Les s</w:t>
      </w:r>
      <w:r w:rsidRPr="00784F6A">
        <w:rPr>
          <w:iCs/>
        </w:rPr>
        <w:t>tratégies et plans d</w:t>
      </w:r>
      <w:r w:rsidR="0059442D">
        <w:rPr>
          <w:iCs/>
        </w:rPr>
        <w:t>’</w:t>
      </w:r>
      <w:r w:rsidRPr="00784F6A">
        <w:rPr>
          <w:iCs/>
        </w:rPr>
        <w:t>action nationaux pour la biodiversité, y compris les cibles nationales en matière de biodiversité</w:t>
      </w:r>
      <w:r w:rsidR="00202E35" w:rsidRPr="00784F6A">
        <w:rPr>
          <w:iCs/>
        </w:rPr>
        <w:t> </w:t>
      </w:r>
      <w:r w:rsidRPr="00784F6A">
        <w:rPr>
          <w:iCs/>
        </w:rPr>
        <w:t>;</w:t>
      </w:r>
    </w:p>
    <w:p w14:paraId="3451D093" w14:textId="77777777" w:rsidR="00B14B10" w:rsidRPr="00784F6A" w:rsidRDefault="003C072A" w:rsidP="003C072A">
      <w:pPr>
        <w:tabs>
          <w:tab w:val="left" w:pos="2835"/>
          <w:tab w:val="left" w:pos="3402"/>
        </w:tabs>
        <w:spacing w:after="120"/>
        <w:ind w:left="567" w:firstLine="567"/>
        <w:rPr>
          <w:iCs/>
        </w:rPr>
      </w:pPr>
      <w:r w:rsidRPr="00784F6A">
        <w:rPr>
          <w:iCs/>
        </w:rPr>
        <w:t xml:space="preserve">d) </w:t>
      </w:r>
      <w:r w:rsidRPr="00784F6A">
        <w:rPr>
          <w:iCs/>
        </w:rPr>
        <w:tab/>
      </w:r>
      <w:r w:rsidR="00E3050A" w:rsidRPr="00784F6A">
        <w:rPr>
          <w:iCs/>
        </w:rPr>
        <w:t>Les p</w:t>
      </w:r>
      <w:r w:rsidRPr="00784F6A">
        <w:rPr>
          <w:iCs/>
        </w:rPr>
        <w:t>lans nationaux de financement de la biodiversité ou instruments similaires</w:t>
      </w:r>
      <w:r w:rsidR="00202E35" w:rsidRPr="00784F6A">
        <w:rPr>
          <w:iCs/>
        </w:rPr>
        <w:t> </w:t>
      </w:r>
      <w:r w:rsidR="00B14B10" w:rsidRPr="00784F6A">
        <w:rPr>
          <w:iCs/>
        </w:rPr>
        <w:t>;</w:t>
      </w:r>
    </w:p>
    <w:p w14:paraId="41BB548B" w14:textId="77777777" w:rsidR="00B14B10" w:rsidRPr="00784F6A" w:rsidRDefault="00B14B10" w:rsidP="00B14B10">
      <w:pPr>
        <w:tabs>
          <w:tab w:val="left" w:pos="2835"/>
          <w:tab w:val="left" w:pos="3402"/>
        </w:tabs>
        <w:spacing w:after="120"/>
        <w:ind w:left="567" w:firstLine="567"/>
        <w:rPr>
          <w:bCs/>
          <w:iCs/>
        </w:rPr>
      </w:pPr>
      <w:r w:rsidRPr="00784F6A">
        <w:rPr>
          <w:bCs/>
          <w:iCs/>
        </w:rPr>
        <w:t>e)</w:t>
      </w:r>
      <w:r w:rsidRPr="00784F6A">
        <w:rPr>
          <w:bCs/>
          <w:iCs/>
        </w:rPr>
        <w:tab/>
      </w:r>
      <w:r w:rsidR="00E3050A" w:rsidRPr="00784F6A">
        <w:rPr>
          <w:bCs/>
          <w:iCs/>
        </w:rPr>
        <w:t>Les m</w:t>
      </w:r>
      <w:r w:rsidR="003C072A" w:rsidRPr="00784F6A">
        <w:rPr>
          <w:bCs/>
          <w:iCs/>
        </w:rPr>
        <w:t>écanismes et stratégies adoptés au titre de la Convention pour renforcer les moyens de mise en œuvre du Cadre mondial de la biodiversité de Kunming-Montréal, en particulier les activités admissibles dans le cadre des mécanismes suivants</w:t>
      </w:r>
      <w:r w:rsidR="00436638" w:rsidRPr="00784F6A">
        <w:rPr>
          <w:bCs/>
          <w:iCs/>
        </w:rPr>
        <w:t> </w:t>
      </w:r>
      <w:r w:rsidRPr="00784F6A">
        <w:rPr>
          <w:bCs/>
          <w:iCs/>
        </w:rPr>
        <w:t>:</w:t>
      </w:r>
    </w:p>
    <w:p w14:paraId="4AA73ABA" w14:textId="0C4EB499" w:rsidR="00B14B10" w:rsidRPr="00784F6A" w:rsidRDefault="00B14B10" w:rsidP="00B14B10">
      <w:pPr>
        <w:tabs>
          <w:tab w:val="left" w:pos="2835"/>
          <w:tab w:val="left" w:pos="3402"/>
        </w:tabs>
        <w:spacing w:after="120"/>
        <w:ind w:left="2268" w:hanging="567"/>
        <w:rPr>
          <w:bCs/>
          <w:iCs/>
        </w:rPr>
      </w:pPr>
      <w:r w:rsidRPr="00784F6A">
        <w:rPr>
          <w:bCs/>
          <w:iCs/>
        </w:rPr>
        <w:lastRenderedPageBreak/>
        <w:t>i)</w:t>
      </w:r>
      <w:r w:rsidRPr="00784F6A">
        <w:rPr>
          <w:bCs/>
          <w:iCs/>
        </w:rPr>
        <w:tab/>
      </w:r>
      <w:r w:rsidR="003C072A" w:rsidRPr="00784F6A">
        <w:rPr>
          <w:bCs/>
          <w:iCs/>
        </w:rPr>
        <w:t>Stratégie de mobilisation des ressources</w:t>
      </w:r>
      <w:r w:rsidR="00F35B4E">
        <w:rPr>
          <w:bCs/>
          <w:iCs/>
        </w:rPr>
        <w:t xml:space="preserve"> pour la période 2025-2030</w:t>
      </w:r>
      <w:r w:rsidRPr="00784F6A">
        <w:rPr>
          <w:bCs/>
          <w:iCs/>
          <w:vertAlign w:val="superscript"/>
        </w:rPr>
        <w:footnoteReference w:id="17"/>
      </w:r>
      <w:r w:rsidR="003C072A" w:rsidRPr="00784F6A">
        <w:rPr>
          <w:bCs/>
          <w:iCs/>
        </w:rPr>
        <w:t>.</w:t>
      </w:r>
    </w:p>
    <w:p w14:paraId="0C84D06F" w14:textId="77777777" w:rsidR="00B14B10" w:rsidRPr="00784F6A" w:rsidRDefault="00B14B10" w:rsidP="00B14B10">
      <w:pPr>
        <w:tabs>
          <w:tab w:val="left" w:pos="2835"/>
          <w:tab w:val="left" w:pos="3402"/>
        </w:tabs>
        <w:spacing w:after="120"/>
        <w:ind w:left="2268" w:hanging="567"/>
        <w:rPr>
          <w:bCs/>
          <w:iCs/>
        </w:rPr>
      </w:pPr>
      <w:r w:rsidRPr="00784F6A">
        <w:rPr>
          <w:bCs/>
          <w:iCs/>
        </w:rPr>
        <w:t>ii)</w:t>
      </w:r>
      <w:r w:rsidRPr="00784F6A">
        <w:rPr>
          <w:bCs/>
          <w:iCs/>
        </w:rPr>
        <w:tab/>
      </w:r>
      <w:r w:rsidR="003C072A" w:rsidRPr="00784F6A">
        <w:rPr>
          <w:bCs/>
          <w:iCs/>
        </w:rPr>
        <w:t>Cadre stratégique à long terme pour le développement et le renforcement des capacités</w:t>
      </w:r>
      <w:r w:rsidRPr="00784F6A">
        <w:rPr>
          <w:bCs/>
          <w:iCs/>
          <w:vertAlign w:val="superscript"/>
        </w:rPr>
        <w:footnoteReference w:id="18"/>
      </w:r>
      <w:r w:rsidR="00202E35" w:rsidRPr="00784F6A">
        <w:rPr>
          <w:bCs/>
          <w:iCs/>
        </w:rPr>
        <w:t> </w:t>
      </w:r>
      <w:r w:rsidR="003C072A" w:rsidRPr="00784F6A">
        <w:rPr>
          <w:bCs/>
          <w:iCs/>
        </w:rPr>
        <w:t>;</w:t>
      </w:r>
    </w:p>
    <w:p w14:paraId="5E3CE426" w14:textId="77777777" w:rsidR="00B14B10" w:rsidRPr="00784F6A" w:rsidRDefault="00B14B10" w:rsidP="00B14B10">
      <w:pPr>
        <w:tabs>
          <w:tab w:val="left" w:pos="2835"/>
          <w:tab w:val="left" w:pos="3402"/>
        </w:tabs>
        <w:spacing w:after="120"/>
        <w:ind w:left="2268" w:hanging="567"/>
      </w:pPr>
      <w:r w:rsidRPr="00784F6A">
        <w:t>iii)</w:t>
      </w:r>
      <w:r w:rsidRPr="00784F6A">
        <w:rPr>
          <w:bCs/>
          <w:iCs/>
        </w:rPr>
        <w:tab/>
      </w:r>
      <w:r w:rsidR="003C072A" w:rsidRPr="00784F6A">
        <w:t>Stratégie de gestion des connaissances à l</w:t>
      </w:r>
      <w:r w:rsidR="0059442D">
        <w:t>’</w:t>
      </w:r>
      <w:r w:rsidR="003C072A" w:rsidRPr="00784F6A">
        <w:t>appui de la mise en œuvre du Cadre mondial de biodiversité de Kunming-Montréal</w:t>
      </w:r>
      <w:r w:rsidRPr="00784F6A">
        <w:rPr>
          <w:vertAlign w:val="superscript"/>
        </w:rPr>
        <w:footnoteReference w:id="19"/>
      </w:r>
      <w:r w:rsidR="00202E35" w:rsidRPr="00784F6A">
        <w:t> </w:t>
      </w:r>
      <w:r w:rsidR="003C072A" w:rsidRPr="00784F6A">
        <w:t>;</w:t>
      </w:r>
    </w:p>
    <w:p w14:paraId="61097DFD" w14:textId="77777777" w:rsidR="00B14B10" w:rsidRPr="00784F6A" w:rsidRDefault="00B14B10" w:rsidP="00B14B10">
      <w:pPr>
        <w:tabs>
          <w:tab w:val="left" w:pos="2835"/>
          <w:tab w:val="left" w:pos="3402"/>
        </w:tabs>
        <w:spacing w:after="120"/>
        <w:ind w:left="567" w:firstLine="567"/>
        <w:rPr>
          <w:bCs/>
          <w:iCs/>
        </w:rPr>
      </w:pPr>
      <w:r w:rsidRPr="00784F6A">
        <w:rPr>
          <w:bCs/>
          <w:iCs/>
        </w:rPr>
        <w:t>f)</w:t>
      </w:r>
      <w:r w:rsidRPr="00784F6A">
        <w:rPr>
          <w:bCs/>
          <w:iCs/>
        </w:rPr>
        <w:tab/>
      </w:r>
      <w:r w:rsidR="00E3050A" w:rsidRPr="00784F6A">
        <w:rPr>
          <w:bCs/>
          <w:iCs/>
        </w:rPr>
        <w:t>Les a</w:t>
      </w:r>
      <w:r w:rsidR="003C072A" w:rsidRPr="00784F6A">
        <w:rPr>
          <w:bCs/>
          <w:iCs/>
        </w:rPr>
        <w:t xml:space="preserve">ctivités </w:t>
      </w:r>
      <w:r w:rsidR="00E3050A" w:rsidRPr="00784F6A">
        <w:rPr>
          <w:bCs/>
          <w:iCs/>
        </w:rPr>
        <w:t>admissibles</w:t>
      </w:r>
      <w:r w:rsidR="003C072A" w:rsidRPr="00784F6A">
        <w:rPr>
          <w:bCs/>
          <w:iCs/>
        </w:rPr>
        <w:t xml:space="preserve"> au titre des plans d</w:t>
      </w:r>
      <w:r w:rsidR="0059442D">
        <w:rPr>
          <w:bCs/>
          <w:iCs/>
        </w:rPr>
        <w:t>’</w:t>
      </w:r>
      <w:r w:rsidR="003C072A" w:rsidRPr="00784F6A">
        <w:rPr>
          <w:bCs/>
          <w:iCs/>
        </w:rPr>
        <w:t>action adoptés dans le cadre de la Convention pour appuyer la mise en œuvre efficace et inclusive du Cadre mondial de la biodiversité de Kunming-Montréal, notamment</w:t>
      </w:r>
      <w:r w:rsidR="00436638" w:rsidRPr="00784F6A">
        <w:rPr>
          <w:bCs/>
          <w:iCs/>
        </w:rPr>
        <w:t> </w:t>
      </w:r>
      <w:r w:rsidRPr="00784F6A">
        <w:rPr>
          <w:bCs/>
          <w:iCs/>
        </w:rPr>
        <w:t>:</w:t>
      </w:r>
    </w:p>
    <w:p w14:paraId="44333A3D" w14:textId="77777777" w:rsidR="00B14B10" w:rsidRPr="00784F6A" w:rsidRDefault="00B14B10" w:rsidP="00B14B10">
      <w:pPr>
        <w:tabs>
          <w:tab w:val="left" w:pos="2835"/>
          <w:tab w:val="left" w:pos="3402"/>
        </w:tabs>
        <w:spacing w:after="120"/>
        <w:ind w:left="2268" w:hanging="567"/>
        <w:rPr>
          <w:bCs/>
          <w:iCs/>
        </w:rPr>
      </w:pPr>
      <w:r w:rsidRPr="00784F6A">
        <w:rPr>
          <w:bCs/>
          <w:iCs/>
        </w:rPr>
        <w:t>i)</w:t>
      </w:r>
      <w:r w:rsidRPr="00784F6A">
        <w:rPr>
          <w:bCs/>
          <w:iCs/>
        </w:rPr>
        <w:tab/>
      </w:r>
      <w:r w:rsidR="006C5D5F" w:rsidRPr="00784F6A">
        <w:rPr>
          <w:bCs/>
          <w:iCs/>
        </w:rPr>
        <w:t>Plan d</w:t>
      </w:r>
      <w:r w:rsidR="0059442D">
        <w:rPr>
          <w:bCs/>
          <w:iCs/>
        </w:rPr>
        <w:t>’</w:t>
      </w:r>
      <w:r w:rsidR="006C5D5F" w:rsidRPr="00784F6A">
        <w:rPr>
          <w:bCs/>
          <w:iCs/>
        </w:rPr>
        <w:t>action relatif aux autorités infranationales, aux municipalités et aux autres autorités locales en faveur de la biodiversité</w:t>
      </w:r>
      <w:r w:rsidR="003C072A" w:rsidRPr="00784F6A">
        <w:rPr>
          <w:bCs/>
          <w:iCs/>
        </w:rPr>
        <w:t xml:space="preserve"> (2023-2030)</w:t>
      </w:r>
      <w:r w:rsidRPr="00784F6A">
        <w:rPr>
          <w:bCs/>
          <w:iCs/>
          <w:vertAlign w:val="superscript"/>
        </w:rPr>
        <w:footnoteReference w:id="20"/>
      </w:r>
      <w:r w:rsidR="00202E35" w:rsidRPr="00784F6A">
        <w:rPr>
          <w:bCs/>
          <w:iCs/>
        </w:rPr>
        <w:t> </w:t>
      </w:r>
      <w:r w:rsidR="003C072A" w:rsidRPr="00784F6A">
        <w:rPr>
          <w:bCs/>
          <w:iCs/>
        </w:rPr>
        <w:t>;</w:t>
      </w:r>
    </w:p>
    <w:p w14:paraId="7C4DFC24" w14:textId="77777777" w:rsidR="00B14B10" w:rsidRPr="00784F6A" w:rsidRDefault="00B14B10" w:rsidP="00B14B10">
      <w:pPr>
        <w:tabs>
          <w:tab w:val="left" w:pos="2835"/>
          <w:tab w:val="left" w:pos="3402"/>
        </w:tabs>
        <w:spacing w:after="120"/>
        <w:ind w:left="2268" w:hanging="567"/>
        <w:rPr>
          <w:bCs/>
          <w:iCs/>
        </w:rPr>
      </w:pPr>
      <w:r w:rsidRPr="00784F6A">
        <w:rPr>
          <w:bCs/>
          <w:iCs/>
        </w:rPr>
        <w:t>ii)</w:t>
      </w:r>
      <w:r w:rsidRPr="00784F6A">
        <w:rPr>
          <w:bCs/>
          <w:iCs/>
        </w:rPr>
        <w:tab/>
      </w:r>
      <w:r w:rsidR="006C5D5F" w:rsidRPr="00784F6A">
        <w:rPr>
          <w:bCs/>
          <w:iCs/>
        </w:rPr>
        <w:t>Plan d</w:t>
      </w:r>
      <w:r w:rsidR="0059442D">
        <w:rPr>
          <w:bCs/>
          <w:iCs/>
        </w:rPr>
        <w:t>’</w:t>
      </w:r>
      <w:r w:rsidR="006C5D5F" w:rsidRPr="00784F6A">
        <w:rPr>
          <w:bCs/>
          <w:iCs/>
        </w:rPr>
        <w:t>action pour l</w:t>
      </w:r>
      <w:r w:rsidR="0059442D">
        <w:rPr>
          <w:bCs/>
          <w:iCs/>
        </w:rPr>
        <w:t>’</w:t>
      </w:r>
      <w:r w:rsidR="006C5D5F" w:rsidRPr="00784F6A">
        <w:rPr>
          <w:bCs/>
          <w:iCs/>
        </w:rPr>
        <w:t xml:space="preserve">égalité des sexes </w:t>
      </w:r>
      <w:r w:rsidRPr="00784F6A">
        <w:rPr>
          <w:bCs/>
          <w:iCs/>
        </w:rPr>
        <w:t>(2023–2030)</w:t>
      </w:r>
      <w:r w:rsidRPr="00784F6A">
        <w:rPr>
          <w:bCs/>
          <w:iCs/>
          <w:vertAlign w:val="superscript"/>
        </w:rPr>
        <w:footnoteReference w:id="21"/>
      </w:r>
      <w:r w:rsidR="00202E35" w:rsidRPr="00784F6A">
        <w:rPr>
          <w:bCs/>
          <w:iCs/>
        </w:rPr>
        <w:t> </w:t>
      </w:r>
      <w:r w:rsidR="006C5D5F" w:rsidRPr="00784F6A">
        <w:rPr>
          <w:bCs/>
          <w:iCs/>
        </w:rPr>
        <w:t>;</w:t>
      </w:r>
    </w:p>
    <w:p w14:paraId="56CEE3F1" w14:textId="77777777" w:rsidR="00B14B10" w:rsidRPr="00784F6A" w:rsidRDefault="00B14B10" w:rsidP="00B14B10">
      <w:pPr>
        <w:tabs>
          <w:tab w:val="left" w:pos="2835"/>
          <w:tab w:val="left" w:pos="3402"/>
        </w:tabs>
        <w:spacing w:after="120"/>
        <w:ind w:left="2268" w:hanging="567"/>
        <w:rPr>
          <w:bCs/>
          <w:iCs/>
        </w:rPr>
      </w:pPr>
      <w:r w:rsidRPr="00784F6A">
        <w:rPr>
          <w:bCs/>
          <w:iCs/>
        </w:rPr>
        <w:t>iii)</w:t>
      </w:r>
      <w:r w:rsidRPr="00784F6A">
        <w:rPr>
          <w:bCs/>
          <w:iCs/>
        </w:rPr>
        <w:tab/>
      </w:r>
      <w:r w:rsidR="006C5D5F" w:rsidRPr="00784F6A">
        <w:rPr>
          <w:bCs/>
          <w:iCs/>
        </w:rPr>
        <w:t>Plan d</w:t>
      </w:r>
      <w:r w:rsidR="0059442D">
        <w:rPr>
          <w:bCs/>
          <w:iCs/>
        </w:rPr>
        <w:t>’</w:t>
      </w:r>
      <w:r w:rsidR="006C5D5F" w:rsidRPr="00784F6A">
        <w:rPr>
          <w:bCs/>
          <w:iCs/>
        </w:rPr>
        <w:t>action mondial sur la biodiversité et la santé</w:t>
      </w:r>
      <w:r w:rsidRPr="00784F6A">
        <w:rPr>
          <w:bCs/>
          <w:iCs/>
          <w:vertAlign w:val="superscript"/>
        </w:rPr>
        <w:footnoteReference w:id="22"/>
      </w:r>
      <w:r w:rsidR="00202E35" w:rsidRPr="00784F6A">
        <w:rPr>
          <w:bCs/>
          <w:iCs/>
        </w:rPr>
        <w:t> </w:t>
      </w:r>
      <w:r w:rsidR="006C5D5F" w:rsidRPr="00784F6A">
        <w:rPr>
          <w:bCs/>
          <w:iCs/>
        </w:rPr>
        <w:t>;</w:t>
      </w:r>
    </w:p>
    <w:p w14:paraId="5A0B7FEC" w14:textId="77777777" w:rsidR="00B14B10" w:rsidRPr="00784F6A" w:rsidRDefault="00B14B10" w:rsidP="00B14B10">
      <w:pPr>
        <w:tabs>
          <w:tab w:val="left" w:pos="2835"/>
          <w:tab w:val="left" w:pos="3402"/>
        </w:tabs>
        <w:spacing w:after="120"/>
        <w:ind w:left="567" w:firstLine="567"/>
        <w:rPr>
          <w:bCs/>
          <w:iCs/>
        </w:rPr>
      </w:pPr>
      <w:r w:rsidRPr="00784F6A">
        <w:rPr>
          <w:bCs/>
          <w:iCs/>
        </w:rPr>
        <w:t>g)</w:t>
      </w:r>
      <w:r w:rsidRPr="00784F6A">
        <w:rPr>
          <w:bCs/>
          <w:iCs/>
        </w:rPr>
        <w:tab/>
      </w:r>
      <w:r w:rsidR="006C5D5F" w:rsidRPr="00784F6A">
        <w:rPr>
          <w:bCs/>
          <w:iCs/>
        </w:rPr>
        <w:t xml:space="preserve">Le cadre de suivi du Cadre mondial biodiversité de Kunming-Montréal </w:t>
      </w:r>
      <w:r w:rsidRPr="00784F6A">
        <w:rPr>
          <w:bCs/>
          <w:iCs/>
          <w:vertAlign w:val="superscript"/>
        </w:rPr>
        <w:footnoteReference w:id="23"/>
      </w:r>
      <w:r w:rsidRPr="00784F6A">
        <w:rPr>
          <w:bCs/>
          <w:iCs/>
        </w:rPr>
        <w:t xml:space="preserve"> </w:t>
      </w:r>
      <w:r w:rsidR="006C5D5F" w:rsidRPr="00784F6A">
        <w:rPr>
          <w:bCs/>
          <w:iCs/>
        </w:rPr>
        <w:t>et l</w:t>
      </w:r>
      <w:r w:rsidR="0059442D">
        <w:rPr>
          <w:bCs/>
          <w:iCs/>
        </w:rPr>
        <w:t>’</w:t>
      </w:r>
      <w:r w:rsidR="006C5D5F" w:rsidRPr="00784F6A">
        <w:rPr>
          <w:bCs/>
          <w:iCs/>
        </w:rPr>
        <w:t>approche multidimensionnelle renforcée de la planification, du suivi, de l</w:t>
      </w:r>
      <w:r w:rsidR="0059442D">
        <w:rPr>
          <w:bCs/>
          <w:iCs/>
        </w:rPr>
        <w:t>’</w:t>
      </w:r>
      <w:r w:rsidR="006C5D5F" w:rsidRPr="00784F6A">
        <w:rPr>
          <w:bCs/>
          <w:iCs/>
        </w:rPr>
        <w:t>établissement de rapports et de l</w:t>
      </w:r>
      <w:r w:rsidR="0059442D">
        <w:rPr>
          <w:bCs/>
          <w:iCs/>
        </w:rPr>
        <w:t>’</w:t>
      </w:r>
      <w:r w:rsidR="006C5D5F" w:rsidRPr="00784F6A">
        <w:rPr>
          <w:bCs/>
          <w:iCs/>
        </w:rPr>
        <w:t>examen</w:t>
      </w:r>
      <w:r w:rsidRPr="00784F6A">
        <w:rPr>
          <w:bCs/>
          <w:iCs/>
          <w:vertAlign w:val="superscript"/>
        </w:rPr>
        <w:footnoteReference w:id="24"/>
      </w:r>
      <w:r w:rsidR="00202E35" w:rsidRPr="00784F6A">
        <w:rPr>
          <w:bCs/>
          <w:iCs/>
        </w:rPr>
        <w:t> </w:t>
      </w:r>
      <w:r w:rsidR="006C5D5F" w:rsidRPr="00784F6A">
        <w:rPr>
          <w:bCs/>
          <w:iCs/>
        </w:rPr>
        <w:t>;</w:t>
      </w:r>
    </w:p>
    <w:p w14:paraId="063765BE" w14:textId="66AD8B18" w:rsidR="00B14B10" w:rsidRPr="00784F6A" w:rsidRDefault="00B14B10" w:rsidP="00B14B10">
      <w:pPr>
        <w:tabs>
          <w:tab w:val="left" w:pos="2835"/>
          <w:tab w:val="left" w:pos="3402"/>
        </w:tabs>
        <w:spacing w:after="120"/>
        <w:ind w:left="567" w:firstLine="567"/>
        <w:rPr>
          <w:iCs/>
        </w:rPr>
      </w:pPr>
      <w:r w:rsidRPr="00784F6A">
        <w:rPr>
          <w:iCs/>
        </w:rPr>
        <w:t>h)</w:t>
      </w:r>
      <w:r w:rsidRPr="00784F6A">
        <w:rPr>
          <w:iCs/>
        </w:rPr>
        <w:tab/>
      </w:r>
      <w:r w:rsidR="006C5D5F" w:rsidRPr="00784F6A">
        <w:rPr>
          <w:iCs/>
        </w:rPr>
        <w:t xml:space="preserve">Le </w:t>
      </w:r>
      <w:r w:rsidR="00F35B4E">
        <w:rPr>
          <w:iCs/>
        </w:rPr>
        <w:t>P</w:t>
      </w:r>
      <w:r w:rsidR="006C5D5F" w:rsidRPr="00784F6A">
        <w:rPr>
          <w:iCs/>
        </w:rPr>
        <w:t>lan de mise en œuvre</w:t>
      </w:r>
      <w:r w:rsidR="006C5D5F" w:rsidRPr="00784F6A">
        <w:rPr>
          <w:iCs/>
          <w:vertAlign w:val="superscript"/>
        </w:rPr>
        <w:footnoteReference w:id="25"/>
      </w:r>
      <w:r w:rsidR="006C5D5F" w:rsidRPr="00784F6A">
        <w:rPr>
          <w:iCs/>
        </w:rPr>
        <w:t xml:space="preserve"> et le </w:t>
      </w:r>
      <w:r w:rsidR="00F35B4E">
        <w:rPr>
          <w:iCs/>
        </w:rPr>
        <w:t>P</w:t>
      </w:r>
      <w:r w:rsidR="006C5D5F" w:rsidRPr="00784F6A">
        <w:rPr>
          <w:iCs/>
        </w:rPr>
        <w:t>lan d</w:t>
      </w:r>
      <w:r w:rsidR="0059442D">
        <w:rPr>
          <w:iCs/>
        </w:rPr>
        <w:t>’</w:t>
      </w:r>
      <w:r w:rsidR="006C5D5F" w:rsidRPr="00784F6A">
        <w:rPr>
          <w:iCs/>
        </w:rPr>
        <w:t>action pour le renforcement des capacités</w:t>
      </w:r>
      <w:r w:rsidR="006C5D5F" w:rsidRPr="00784F6A">
        <w:rPr>
          <w:iCs/>
          <w:vertAlign w:val="superscript"/>
        </w:rPr>
        <w:footnoteReference w:id="26"/>
      </w:r>
      <w:r w:rsidR="006C5D5F" w:rsidRPr="00784F6A">
        <w:rPr>
          <w:iCs/>
        </w:rPr>
        <w:t xml:space="preserve"> du Protocole de Cartagena sur la prévention des risques biotechnologiques</w:t>
      </w:r>
      <w:r w:rsidR="006C5D5F" w:rsidRPr="00784F6A">
        <w:rPr>
          <w:iCs/>
          <w:vertAlign w:val="superscript"/>
        </w:rPr>
        <w:footnoteReference w:id="27"/>
      </w:r>
      <w:r w:rsidR="00202E35" w:rsidRPr="00784F6A">
        <w:rPr>
          <w:iCs/>
        </w:rPr>
        <w:t> </w:t>
      </w:r>
      <w:r w:rsidR="006C5D5F" w:rsidRPr="00784F6A">
        <w:rPr>
          <w:iCs/>
        </w:rPr>
        <w:t>;</w:t>
      </w:r>
    </w:p>
    <w:p w14:paraId="1646D7CF" w14:textId="3C9E5E84" w:rsidR="00B14B10" w:rsidRPr="00784F6A" w:rsidRDefault="00B14B10" w:rsidP="00B14B10">
      <w:pPr>
        <w:tabs>
          <w:tab w:val="left" w:pos="2835"/>
          <w:tab w:val="left" w:pos="3402"/>
        </w:tabs>
        <w:spacing w:after="120"/>
        <w:ind w:left="567" w:firstLine="567"/>
        <w:rPr>
          <w:iCs/>
        </w:rPr>
      </w:pPr>
      <w:r w:rsidRPr="00784F6A">
        <w:rPr>
          <w:iCs/>
        </w:rPr>
        <w:t>i)</w:t>
      </w:r>
      <w:r w:rsidRPr="00784F6A">
        <w:rPr>
          <w:iCs/>
        </w:rPr>
        <w:tab/>
      </w:r>
      <w:r w:rsidR="006C5D5F" w:rsidRPr="00784F6A">
        <w:rPr>
          <w:iCs/>
        </w:rPr>
        <w:t xml:space="preserve">Le </w:t>
      </w:r>
      <w:r w:rsidR="00F35B4E">
        <w:rPr>
          <w:iCs/>
        </w:rPr>
        <w:t>P</w:t>
      </w:r>
      <w:r w:rsidR="006C5D5F" w:rsidRPr="00784F6A">
        <w:rPr>
          <w:iCs/>
        </w:rPr>
        <w:t>lan d</w:t>
      </w:r>
      <w:r w:rsidR="0059442D">
        <w:rPr>
          <w:iCs/>
        </w:rPr>
        <w:t>’</w:t>
      </w:r>
      <w:r w:rsidR="006C5D5F" w:rsidRPr="00784F6A">
        <w:rPr>
          <w:iCs/>
        </w:rPr>
        <w:t>action pour la création et le renforcement des capacités</w:t>
      </w:r>
      <w:r w:rsidR="006C5D5F" w:rsidRPr="00784F6A">
        <w:rPr>
          <w:iCs/>
          <w:vertAlign w:val="superscript"/>
        </w:rPr>
        <w:footnoteReference w:id="28"/>
      </w:r>
      <w:r w:rsidR="006C5D5F" w:rsidRPr="00784F6A">
        <w:rPr>
          <w:iCs/>
        </w:rPr>
        <w:t xml:space="preserve"> du Protocole de Nagoya sur l</w:t>
      </w:r>
      <w:r w:rsidR="0059442D">
        <w:rPr>
          <w:iCs/>
        </w:rPr>
        <w:t>’</w:t>
      </w:r>
      <w:r w:rsidR="006C5D5F" w:rsidRPr="00784F6A">
        <w:rPr>
          <w:iCs/>
        </w:rPr>
        <w:t>accès aux ressources génétiques et le partage juste et équitable des avantages découlant de leur utilisation</w:t>
      </w:r>
      <w:r w:rsidRPr="00784F6A">
        <w:rPr>
          <w:iCs/>
          <w:vertAlign w:val="superscript"/>
        </w:rPr>
        <w:footnoteReference w:id="29"/>
      </w:r>
      <w:r w:rsidR="00202E35" w:rsidRPr="00784F6A">
        <w:rPr>
          <w:iCs/>
        </w:rPr>
        <w:t> </w:t>
      </w:r>
      <w:r w:rsidR="006C5D5F" w:rsidRPr="00784F6A">
        <w:rPr>
          <w:iCs/>
        </w:rPr>
        <w:t>;</w:t>
      </w:r>
    </w:p>
    <w:p w14:paraId="36D1D300" w14:textId="30A4F97F" w:rsidR="00B14B10" w:rsidRPr="00784F6A" w:rsidRDefault="00B14B10" w:rsidP="00B14B10">
      <w:pPr>
        <w:tabs>
          <w:tab w:val="left" w:pos="2835"/>
          <w:tab w:val="left" w:pos="3402"/>
        </w:tabs>
        <w:spacing w:after="120"/>
        <w:ind w:left="567" w:firstLine="567"/>
        <w:rPr>
          <w:iCs/>
        </w:rPr>
      </w:pPr>
      <w:r w:rsidRPr="00784F6A">
        <w:rPr>
          <w:iCs/>
        </w:rPr>
        <w:t>j)</w:t>
      </w:r>
      <w:r w:rsidRPr="00784F6A">
        <w:rPr>
          <w:iCs/>
        </w:rPr>
        <w:tab/>
      </w:r>
      <w:r w:rsidR="006C5D5F" w:rsidRPr="00784F6A">
        <w:rPr>
          <w:bCs/>
          <w:iCs/>
        </w:rPr>
        <w:t>Les orientations sur les priorités du programme à l</w:t>
      </w:r>
      <w:r w:rsidR="0059442D">
        <w:rPr>
          <w:bCs/>
          <w:iCs/>
        </w:rPr>
        <w:t>’</w:t>
      </w:r>
      <w:r w:rsidR="006C5D5F" w:rsidRPr="00784F6A">
        <w:rPr>
          <w:bCs/>
          <w:iCs/>
        </w:rPr>
        <w:t xml:space="preserve">appui de la mise en œuvre des </w:t>
      </w:r>
      <w:r w:rsidR="00CF3FA3">
        <w:rPr>
          <w:bCs/>
          <w:iCs/>
        </w:rPr>
        <w:t>P</w:t>
      </w:r>
      <w:r w:rsidR="006C5D5F" w:rsidRPr="00784F6A">
        <w:rPr>
          <w:bCs/>
          <w:iCs/>
        </w:rPr>
        <w:t>rotocoles, adoptées par la Conférence des Parties siégeant en tant que réunion des Parties au Protocole de Cartagena à sa onzième réunion et par la Conférence des Parties siégeant en tant que réunion des Parties au Protocole de Nagoya à sa cinquième réunion, qui figurent dans les pièces jointes</w:t>
      </w:r>
      <w:r w:rsidR="00436638" w:rsidRPr="00784F6A">
        <w:rPr>
          <w:bCs/>
          <w:iCs/>
        </w:rPr>
        <w:t> </w:t>
      </w:r>
      <w:r w:rsidR="006C5D5F" w:rsidRPr="00784F6A">
        <w:rPr>
          <w:bCs/>
          <w:iCs/>
        </w:rPr>
        <w:t>I et II, respectivement</w:t>
      </w:r>
      <w:r w:rsidRPr="00784F6A">
        <w:rPr>
          <w:iCs/>
        </w:rPr>
        <w:t>.</w:t>
      </w:r>
      <w:r w:rsidRPr="00784F6A" w:rsidDel="00BF7D01">
        <w:rPr>
          <w:iCs/>
          <w:vertAlign w:val="superscript"/>
        </w:rPr>
        <w:t xml:space="preserve"> </w:t>
      </w:r>
    </w:p>
    <w:p w14:paraId="2A9886AF" w14:textId="77777777" w:rsidR="00B14B10" w:rsidRPr="00784F6A" w:rsidRDefault="00B14B10" w:rsidP="00CF3FA3">
      <w:pPr>
        <w:tabs>
          <w:tab w:val="left" w:pos="2835"/>
          <w:tab w:val="left" w:pos="3402"/>
        </w:tabs>
        <w:spacing w:after="120"/>
        <w:rPr>
          <w:b/>
        </w:rPr>
      </w:pPr>
      <w:bookmarkStart w:id="6" w:name="_Hlk163319639"/>
      <w:r w:rsidRPr="00784F6A">
        <w:rPr>
          <w:b/>
        </w:rPr>
        <w:t>III.</w:t>
      </w:r>
      <w:r w:rsidRPr="00784F6A">
        <w:rPr>
          <w:b/>
        </w:rPr>
        <w:tab/>
      </w:r>
      <w:r w:rsidR="006C5D5F" w:rsidRPr="00784F6A">
        <w:rPr>
          <w:b/>
        </w:rPr>
        <w:t>Considérations stratégiques</w:t>
      </w:r>
    </w:p>
    <w:bookmarkEnd w:id="6"/>
    <w:p w14:paraId="3873BFB1" w14:textId="5A69C3E3" w:rsidR="000D1DE4" w:rsidRPr="00784F6A" w:rsidRDefault="00B14B10" w:rsidP="00CF3FA3">
      <w:pPr>
        <w:tabs>
          <w:tab w:val="left" w:pos="2835"/>
          <w:tab w:val="left" w:pos="3402"/>
        </w:tabs>
        <w:spacing w:after="120"/>
        <w:ind w:left="567"/>
      </w:pPr>
      <w:r w:rsidRPr="00784F6A">
        <w:t>10.</w:t>
      </w:r>
      <w:r w:rsidRPr="00784F6A">
        <w:tab/>
      </w:r>
      <w:r w:rsidR="000D1DE4" w:rsidRPr="00784F6A">
        <w:t xml:space="preserve">Les orientations programmatiques et les recommandations de politique générale pour la neuvième </w:t>
      </w:r>
      <w:r w:rsidR="00CF3FA3">
        <w:t>reconstitution des ressources de la Caisse</w:t>
      </w:r>
      <w:r w:rsidR="000D1DE4" w:rsidRPr="00784F6A">
        <w:t xml:space="preserve"> du Fonds pour l</w:t>
      </w:r>
      <w:r w:rsidR="0059442D">
        <w:t>’</w:t>
      </w:r>
      <w:r w:rsidR="000D1DE4" w:rsidRPr="00784F6A">
        <w:t xml:space="preserve">environnement mondial, dans la mesure où elles se rapportent à la Convention et à ses Protocoles et à leur </w:t>
      </w:r>
      <w:r w:rsidR="002F29BF" w:rsidRPr="00784F6A">
        <w:t>mécanisme de financement</w:t>
      </w:r>
      <w:r w:rsidR="000D1DE4" w:rsidRPr="00784F6A">
        <w:t xml:space="preserve"> établi en vertu de l</w:t>
      </w:r>
      <w:r w:rsidR="0059442D">
        <w:t>’</w:t>
      </w:r>
      <w:r w:rsidR="000D1DE4" w:rsidRPr="00784F6A">
        <w:t>article</w:t>
      </w:r>
      <w:r w:rsidR="00436638" w:rsidRPr="00784F6A">
        <w:t> </w:t>
      </w:r>
      <w:hyperlink r:id="rId22" w:history="1">
        <w:r w:rsidR="000D1DE4" w:rsidRPr="00F35B4E">
          <w:rPr>
            <w:rStyle w:val="Lienhypertexte"/>
          </w:rPr>
          <w:t>21</w:t>
        </w:r>
      </w:hyperlink>
      <w:r w:rsidR="000D1DE4" w:rsidRPr="00784F6A">
        <w:t xml:space="preserve"> de la Convention, géré par le Fonds à titre provisoire et </w:t>
      </w:r>
      <w:r w:rsidR="00E3050A" w:rsidRPr="00784F6A">
        <w:t>de manière continue</w:t>
      </w:r>
      <w:r w:rsidR="000D1DE4" w:rsidRPr="00784F6A">
        <w:t>, conformément à l</w:t>
      </w:r>
      <w:r w:rsidR="0059442D">
        <w:t>’</w:t>
      </w:r>
      <w:r w:rsidR="000D1DE4" w:rsidRPr="00784F6A">
        <w:t>article</w:t>
      </w:r>
      <w:r w:rsidR="00436638" w:rsidRPr="00784F6A">
        <w:t> </w:t>
      </w:r>
      <w:hyperlink r:id="rId23" w:history="1">
        <w:r w:rsidR="000D1DE4" w:rsidRPr="00F35B4E">
          <w:rPr>
            <w:rStyle w:val="Lienhypertexte"/>
          </w:rPr>
          <w:t>39</w:t>
        </w:r>
      </w:hyperlink>
      <w:r w:rsidR="000D1DE4" w:rsidRPr="00784F6A">
        <w:t xml:space="preserve"> de la Convention, devraient</w:t>
      </w:r>
      <w:r w:rsidR="00436638" w:rsidRPr="00784F6A">
        <w:t> </w:t>
      </w:r>
      <w:r w:rsidR="000D1DE4" w:rsidRPr="00784F6A">
        <w:t xml:space="preserve">: </w:t>
      </w:r>
    </w:p>
    <w:p w14:paraId="4B8DB427" w14:textId="6C558A47" w:rsidR="000D1DE4" w:rsidRPr="00784F6A" w:rsidRDefault="000D1DE4" w:rsidP="000D1DE4">
      <w:pPr>
        <w:tabs>
          <w:tab w:val="left" w:pos="2835"/>
          <w:tab w:val="left" w:pos="3402"/>
        </w:tabs>
        <w:spacing w:after="120"/>
        <w:ind w:left="567" w:firstLine="567"/>
      </w:pPr>
      <w:r w:rsidRPr="00784F6A">
        <w:t xml:space="preserve">a) </w:t>
      </w:r>
      <w:r w:rsidR="006C2E72" w:rsidRPr="00784F6A">
        <w:rPr>
          <w:iCs/>
        </w:rPr>
        <w:tab/>
      </w:r>
      <w:r w:rsidRPr="00784F6A">
        <w:t>Être élaborées de manière totalement transparente et inclusive, afin de garantir que les projets financés par le Fonds pour l</w:t>
      </w:r>
      <w:r w:rsidR="0059442D">
        <w:t>’</w:t>
      </w:r>
      <w:r w:rsidRPr="00784F6A">
        <w:t xml:space="preserve">environnement mondial au cours de la neuvième reconstitution de sa Caisse pour appuyer les objectifs en matière de diversité biologique soient élaborés en fonction du contexte et des pays, et répondent aux besoins prioritaires </w:t>
      </w:r>
      <w:r w:rsidR="00CF3FA3">
        <w:t>recensés</w:t>
      </w:r>
      <w:r w:rsidRPr="00784F6A">
        <w:t xml:space="preserve"> par les </w:t>
      </w:r>
      <w:r w:rsidR="00F35B4E">
        <w:t>Parties</w:t>
      </w:r>
      <w:r w:rsidRPr="00784F6A">
        <w:t xml:space="preserve"> </w:t>
      </w:r>
      <w:r w:rsidR="00656D3B" w:rsidRPr="00784F6A">
        <w:t>admissibles</w:t>
      </w:r>
      <w:r w:rsidR="00202E35" w:rsidRPr="00784F6A">
        <w:t> </w:t>
      </w:r>
      <w:r w:rsidRPr="00784F6A">
        <w:t>;</w:t>
      </w:r>
    </w:p>
    <w:p w14:paraId="1645279E" w14:textId="375A35AE" w:rsidR="00B14B10" w:rsidRPr="00784F6A" w:rsidRDefault="000D1DE4" w:rsidP="000D1DE4">
      <w:pPr>
        <w:tabs>
          <w:tab w:val="left" w:pos="2835"/>
          <w:tab w:val="left" w:pos="3402"/>
        </w:tabs>
        <w:spacing w:after="120"/>
        <w:ind w:left="567" w:firstLine="567"/>
        <w:rPr>
          <w:iCs/>
        </w:rPr>
      </w:pPr>
      <w:r w:rsidRPr="00784F6A">
        <w:lastRenderedPageBreak/>
        <w:t xml:space="preserve">b) </w:t>
      </w:r>
      <w:r w:rsidR="006C2E72" w:rsidRPr="00784F6A">
        <w:rPr>
          <w:iCs/>
        </w:rPr>
        <w:tab/>
      </w:r>
      <w:r w:rsidRPr="00784F6A">
        <w:t xml:space="preserve">Soutenir la mise en œuvre rapide et efficace du </w:t>
      </w:r>
      <w:r w:rsidR="00F35B4E" w:rsidRPr="00F35B4E">
        <w:t>Cadre mondial de la biodiversité de Kunming-Montréal</w:t>
      </w:r>
      <w:r w:rsidRPr="00784F6A">
        <w:t>, notamment en contribuant à une mobilisation sensiblement accrue des ressources, y compris des financements du Fonds pour l</w:t>
      </w:r>
      <w:r w:rsidR="0059442D">
        <w:t>’</w:t>
      </w:r>
      <w:r w:rsidRPr="00784F6A">
        <w:t>environnement mondial qui soient adéquats, prévisibles, durables, opportuns et accessibles à tous les pays en développement Parties, en particulier les pays les moins avancés et les petits États insulaires en développement, ainsi qu</w:t>
      </w:r>
      <w:r w:rsidR="0059442D">
        <w:t>’</w:t>
      </w:r>
      <w:r w:rsidRPr="00784F6A">
        <w:t>aux Parties à économie en transition remplissant les conditions requises pour bénéficier d</w:t>
      </w:r>
      <w:r w:rsidR="0059442D">
        <w:t>’</w:t>
      </w:r>
      <w:r w:rsidRPr="00784F6A">
        <w:t>un appui par l</w:t>
      </w:r>
      <w:r w:rsidR="0059442D">
        <w:t>’</w:t>
      </w:r>
      <w:r w:rsidRPr="00784F6A">
        <w:t xml:space="preserve">intermédiaire du </w:t>
      </w:r>
      <w:r w:rsidR="002F29BF" w:rsidRPr="00784F6A">
        <w:t>mécanisme de financement</w:t>
      </w:r>
      <w:r w:rsidRPr="00784F6A">
        <w:t xml:space="preserve"> de la Convention et de ses Protocoles, comme déterminé dans le cadre de la Convention elle-même et par la Conférence des Parties. Si ce financement peut être fourni aux Parties admissibles par le Fonds pour l</w:t>
      </w:r>
      <w:r w:rsidR="0059442D">
        <w:t>’</w:t>
      </w:r>
      <w:r w:rsidRPr="00784F6A">
        <w:t>environnement mondial principalement au moyen d</w:t>
      </w:r>
      <w:r w:rsidR="0059442D">
        <w:t>’</w:t>
      </w:r>
      <w:r w:rsidRPr="00784F6A">
        <w:t>allocations au titre des orientations programmatiques consacrées au domaine d</w:t>
      </w:r>
      <w:r w:rsidR="0059442D">
        <w:t>’</w:t>
      </w:r>
      <w:r w:rsidRPr="00784F6A">
        <w:t>intervention « diversité biologique », il peut y avoir des avantages connexes pour la diversité biologique découlant d</w:t>
      </w:r>
      <w:r w:rsidR="0059442D">
        <w:t>’</w:t>
      </w:r>
      <w:r w:rsidRPr="00784F6A">
        <w:t>autres domaines d</w:t>
      </w:r>
      <w:r w:rsidR="0059442D">
        <w:t>’</w:t>
      </w:r>
      <w:r w:rsidRPr="00784F6A">
        <w:t>intervention et programmes mondiaux ainsi que des programmes intégrés, d</w:t>
      </w:r>
      <w:r w:rsidR="0059442D">
        <w:t>’</w:t>
      </w:r>
      <w:r w:rsidRPr="00784F6A">
        <w:t>où la nécessité d</w:t>
      </w:r>
      <w:r w:rsidR="0059442D">
        <w:t>’</w:t>
      </w:r>
      <w:r w:rsidRPr="00784F6A">
        <w:t>une programmation rationalisée et d</w:t>
      </w:r>
      <w:r w:rsidR="0059442D">
        <w:t>’</w:t>
      </w:r>
      <w:r w:rsidRPr="00784F6A">
        <w:t>un processus d</w:t>
      </w:r>
      <w:r w:rsidR="0059442D">
        <w:t>’</w:t>
      </w:r>
      <w:r w:rsidRPr="00784F6A">
        <w:t>approbation qui permette le décaissement des ressources en temps voulu</w:t>
      </w:r>
      <w:r w:rsidR="00202E35" w:rsidRPr="00784F6A">
        <w:t> </w:t>
      </w:r>
      <w:r w:rsidR="00B14B10" w:rsidRPr="00784F6A">
        <w:rPr>
          <w:iCs/>
        </w:rPr>
        <w:t>;</w:t>
      </w:r>
    </w:p>
    <w:p w14:paraId="760D9E01" w14:textId="7FC39B1E" w:rsidR="000D1DE4" w:rsidRPr="00784F6A" w:rsidRDefault="00B14B10" w:rsidP="000D1DE4">
      <w:pPr>
        <w:tabs>
          <w:tab w:val="left" w:pos="2835"/>
          <w:tab w:val="left" w:pos="3402"/>
        </w:tabs>
        <w:spacing w:after="120"/>
        <w:ind w:left="567" w:firstLine="567"/>
        <w:rPr>
          <w:iCs/>
        </w:rPr>
      </w:pPr>
      <w:r w:rsidRPr="00784F6A">
        <w:rPr>
          <w:iCs/>
        </w:rPr>
        <w:t>c)</w:t>
      </w:r>
      <w:r w:rsidRPr="00784F6A">
        <w:rPr>
          <w:iCs/>
        </w:rPr>
        <w:tab/>
      </w:r>
      <w:r w:rsidR="000D1DE4" w:rsidRPr="00784F6A">
        <w:rPr>
          <w:iCs/>
        </w:rPr>
        <w:t>S</w:t>
      </w:r>
      <w:r w:rsidR="0059442D">
        <w:rPr>
          <w:iCs/>
        </w:rPr>
        <w:t>’</w:t>
      </w:r>
      <w:r w:rsidR="000D1DE4" w:rsidRPr="00784F6A">
        <w:rPr>
          <w:iCs/>
        </w:rPr>
        <w:t xml:space="preserve">appuyer sur </w:t>
      </w:r>
      <w:r w:rsidR="00E3050A" w:rsidRPr="00784F6A">
        <w:rPr>
          <w:iCs/>
        </w:rPr>
        <w:t>le soutien</w:t>
      </w:r>
      <w:r w:rsidR="000D1DE4" w:rsidRPr="00784F6A">
        <w:rPr>
          <w:iCs/>
        </w:rPr>
        <w:t xml:space="preserve"> fourni </w:t>
      </w:r>
      <w:r w:rsidR="00E3050A" w:rsidRPr="00784F6A">
        <w:rPr>
          <w:iCs/>
        </w:rPr>
        <w:t>au titre</w:t>
      </w:r>
      <w:r w:rsidR="000D1DE4" w:rsidRPr="00784F6A">
        <w:rPr>
          <w:iCs/>
        </w:rPr>
        <w:t xml:space="preserve"> de la huitième </w:t>
      </w:r>
      <w:r w:rsidR="00CF3FA3">
        <w:rPr>
          <w:iCs/>
        </w:rPr>
        <w:t>reconstitution des ressources de la Caisse</w:t>
      </w:r>
      <w:r w:rsidR="000D1DE4" w:rsidRPr="00784F6A">
        <w:rPr>
          <w:iCs/>
        </w:rPr>
        <w:t xml:space="preserve"> du Fonds pour l</w:t>
      </w:r>
      <w:r w:rsidR="0059442D">
        <w:rPr>
          <w:iCs/>
        </w:rPr>
        <w:t>’</w:t>
      </w:r>
      <w:r w:rsidR="000D1DE4" w:rsidRPr="00784F6A">
        <w:rPr>
          <w:iCs/>
        </w:rPr>
        <w:t>environnement mondial et du Fonds du Cadre mondial de la biodiversité</w:t>
      </w:r>
      <w:r w:rsidR="00202E35" w:rsidRPr="00784F6A">
        <w:rPr>
          <w:iCs/>
        </w:rPr>
        <w:t> </w:t>
      </w:r>
      <w:r w:rsidR="000D1DE4" w:rsidRPr="00784F6A">
        <w:rPr>
          <w:iCs/>
        </w:rPr>
        <w:t>;</w:t>
      </w:r>
    </w:p>
    <w:p w14:paraId="037382C1" w14:textId="77777777" w:rsidR="000D1DE4" w:rsidRPr="00784F6A" w:rsidRDefault="000D1DE4" w:rsidP="000D1DE4">
      <w:pPr>
        <w:tabs>
          <w:tab w:val="left" w:pos="2835"/>
          <w:tab w:val="left" w:pos="3402"/>
        </w:tabs>
        <w:spacing w:after="120"/>
        <w:ind w:left="567" w:firstLine="567"/>
        <w:rPr>
          <w:iCs/>
        </w:rPr>
      </w:pPr>
      <w:r w:rsidRPr="00784F6A">
        <w:rPr>
          <w:iCs/>
        </w:rPr>
        <w:t xml:space="preserve">d) </w:t>
      </w:r>
      <w:r w:rsidR="00A00EFF" w:rsidRPr="00784F6A">
        <w:rPr>
          <w:iCs/>
        </w:rPr>
        <w:tab/>
      </w:r>
      <w:r w:rsidRPr="00784F6A">
        <w:rPr>
          <w:iCs/>
        </w:rPr>
        <w:t>Prendre en compte la cohérence et les synergies entre les programmes et priorités des pays énoncés dans les stratégies et plans d</w:t>
      </w:r>
      <w:r w:rsidR="0059442D">
        <w:rPr>
          <w:iCs/>
        </w:rPr>
        <w:t>’</w:t>
      </w:r>
      <w:r w:rsidRPr="00784F6A">
        <w:rPr>
          <w:iCs/>
        </w:rPr>
        <w:t>action nationaux pour la biodiversité afin d</w:t>
      </w:r>
      <w:r w:rsidR="0059442D">
        <w:rPr>
          <w:iCs/>
        </w:rPr>
        <w:t>’</w:t>
      </w:r>
      <w:r w:rsidRPr="00784F6A">
        <w:rPr>
          <w:iCs/>
        </w:rPr>
        <w:t>appuyer la mise en œuvre du Cadre</w:t>
      </w:r>
      <w:r w:rsidR="00202E35" w:rsidRPr="00784F6A">
        <w:rPr>
          <w:iCs/>
        </w:rPr>
        <w:t> </w:t>
      </w:r>
      <w:r w:rsidRPr="00784F6A">
        <w:rPr>
          <w:iCs/>
        </w:rPr>
        <w:t>;</w:t>
      </w:r>
    </w:p>
    <w:p w14:paraId="016BD94B" w14:textId="12F0E550" w:rsidR="000D1DE4" w:rsidRPr="00784F6A" w:rsidRDefault="000D1DE4" w:rsidP="000D1DE4">
      <w:pPr>
        <w:tabs>
          <w:tab w:val="left" w:pos="2835"/>
          <w:tab w:val="left" w:pos="3402"/>
        </w:tabs>
        <w:spacing w:after="120"/>
        <w:ind w:left="567" w:firstLine="567"/>
        <w:rPr>
          <w:iCs/>
        </w:rPr>
      </w:pPr>
      <w:r w:rsidRPr="00784F6A">
        <w:rPr>
          <w:iCs/>
        </w:rPr>
        <w:t xml:space="preserve">e) </w:t>
      </w:r>
      <w:r w:rsidR="00A00EFF" w:rsidRPr="00784F6A">
        <w:rPr>
          <w:iCs/>
        </w:rPr>
        <w:tab/>
      </w:r>
      <w:r w:rsidRPr="00784F6A">
        <w:rPr>
          <w:iCs/>
        </w:rPr>
        <w:t xml:space="preserve">Promouvoir la collaboration avec les </w:t>
      </w:r>
      <w:r w:rsidR="00F35B4E">
        <w:rPr>
          <w:iCs/>
        </w:rPr>
        <w:t>Parties</w:t>
      </w:r>
      <w:r w:rsidRPr="00784F6A">
        <w:rPr>
          <w:iCs/>
        </w:rPr>
        <w:t xml:space="preserve"> admissibles afin d</w:t>
      </w:r>
      <w:r w:rsidR="0059442D">
        <w:rPr>
          <w:iCs/>
        </w:rPr>
        <w:t>’</w:t>
      </w:r>
      <w:r w:rsidRPr="00784F6A">
        <w:rPr>
          <w:iCs/>
        </w:rPr>
        <w:t>appuyer la mobilisation des ressources nationales ainsi que l</w:t>
      </w:r>
      <w:r w:rsidR="0059442D">
        <w:rPr>
          <w:iCs/>
        </w:rPr>
        <w:t>’</w:t>
      </w:r>
      <w:r w:rsidRPr="00784F6A">
        <w:rPr>
          <w:iCs/>
        </w:rPr>
        <w:t>élaboration, la mise en œuvre et la mise à jour des plans de financement nationaux en faveur de la biodiversité</w:t>
      </w:r>
      <w:r w:rsidR="00202E35" w:rsidRPr="00784F6A">
        <w:rPr>
          <w:iCs/>
        </w:rPr>
        <w:t> </w:t>
      </w:r>
      <w:r w:rsidRPr="00784F6A">
        <w:rPr>
          <w:iCs/>
        </w:rPr>
        <w:t>;</w:t>
      </w:r>
    </w:p>
    <w:p w14:paraId="217BC80C" w14:textId="3B290E11" w:rsidR="000D1DE4" w:rsidRPr="00784F6A" w:rsidRDefault="000D1DE4" w:rsidP="000D1DE4">
      <w:pPr>
        <w:tabs>
          <w:tab w:val="left" w:pos="2835"/>
          <w:tab w:val="left" w:pos="3402"/>
        </w:tabs>
        <w:spacing w:after="120"/>
        <w:ind w:left="567" w:firstLine="567"/>
        <w:rPr>
          <w:iCs/>
        </w:rPr>
      </w:pPr>
      <w:r w:rsidRPr="00784F6A">
        <w:rPr>
          <w:iCs/>
        </w:rPr>
        <w:t xml:space="preserve">f) </w:t>
      </w:r>
      <w:r w:rsidR="00A00EFF" w:rsidRPr="00784F6A">
        <w:rPr>
          <w:iCs/>
        </w:rPr>
        <w:tab/>
      </w:r>
      <w:r w:rsidRPr="00784F6A">
        <w:rPr>
          <w:iCs/>
        </w:rPr>
        <w:t>Promouvoir la réalisation d</w:t>
      </w:r>
      <w:r w:rsidR="0059442D">
        <w:rPr>
          <w:iCs/>
        </w:rPr>
        <w:t>’</w:t>
      </w:r>
      <w:r w:rsidRPr="00784F6A">
        <w:rPr>
          <w:iCs/>
        </w:rPr>
        <w:t>avantages environnementaux au niveau mondial et de voies de développement durable qui garantissent la conservation et l</w:t>
      </w:r>
      <w:r w:rsidR="0059442D">
        <w:rPr>
          <w:iCs/>
        </w:rPr>
        <w:t>’</w:t>
      </w:r>
      <w:r w:rsidRPr="00784F6A">
        <w:rPr>
          <w:iCs/>
        </w:rPr>
        <w:t>utilisation durable de la biodiversité et le partage juste et équitable des avantages découlant de l</w:t>
      </w:r>
      <w:r w:rsidR="0059442D">
        <w:rPr>
          <w:iCs/>
        </w:rPr>
        <w:t>’</w:t>
      </w:r>
      <w:r w:rsidRPr="00784F6A">
        <w:rPr>
          <w:iCs/>
        </w:rPr>
        <w:t>utilisation des ressources génétiques et qui so</w:t>
      </w:r>
      <w:r w:rsidR="00CF3FA3">
        <w:rPr>
          <w:iCs/>
        </w:rPr>
        <w:t>ie</w:t>
      </w:r>
      <w:r w:rsidRPr="00784F6A">
        <w:rPr>
          <w:iCs/>
        </w:rPr>
        <w:t>nt neutres en carbone et non polluants, notamment en encourageant la cohérence et la complémentarité entre les domaines d</w:t>
      </w:r>
      <w:r w:rsidR="0059442D">
        <w:rPr>
          <w:iCs/>
        </w:rPr>
        <w:t>’</w:t>
      </w:r>
      <w:r w:rsidRPr="00784F6A">
        <w:rPr>
          <w:iCs/>
        </w:rPr>
        <w:t>intervention du Fonds pour l</w:t>
      </w:r>
      <w:r w:rsidR="0059442D">
        <w:rPr>
          <w:iCs/>
        </w:rPr>
        <w:t>’</w:t>
      </w:r>
      <w:r w:rsidRPr="00784F6A">
        <w:rPr>
          <w:iCs/>
        </w:rPr>
        <w:t>environnement mondial que sont la biodiversité, la dégradation des terres, les eaux internationales, l</w:t>
      </w:r>
      <w:r w:rsidR="0059442D">
        <w:rPr>
          <w:iCs/>
        </w:rPr>
        <w:t>’</w:t>
      </w:r>
      <w:r w:rsidRPr="00784F6A">
        <w:rPr>
          <w:iCs/>
        </w:rPr>
        <w:t>atténuation des changements climatiques et l</w:t>
      </w:r>
      <w:r w:rsidR="0059442D">
        <w:rPr>
          <w:iCs/>
        </w:rPr>
        <w:t>’</w:t>
      </w:r>
      <w:r w:rsidRPr="00784F6A">
        <w:rPr>
          <w:iCs/>
        </w:rPr>
        <w:t>adaptation à ceux-ci, ainsi que les produits chimiques et les déchets, et ses programmes intégrés, dans le contexte des priorités et des programmes mis en œuvre par les pays</w:t>
      </w:r>
      <w:r w:rsidR="00202E35" w:rsidRPr="00784F6A">
        <w:rPr>
          <w:iCs/>
        </w:rPr>
        <w:t> </w:t>
      </w:r>
      <w:r w:rsidRPr="00784F6A">
        <w:rPr>
          <w:iCs/>
        </w:rPr>
        <w:t>;</w:t>
      </w:r>
    </w:p>
    <w:p w14:paraId="24B637DF" w14:textId="331BB3BD" w:rsidR="00B14B10" w:rsidRPr="00784F6A" w:rsidRDefault="000D1DE4" w:rsidP="000D1DE4">
      <w:pPr>
        <w:tabs>
          <w:tab w:val="left" w:pos="2835"/>
          <w:tab w:val="left" w:pos="3402"/>
        </w:tabs>
        <w:spacing w:after="120"/>
        <w:ind w:left="567" w:firstLine="567"/>
        <w:rPr>
          <w:iCs/>
        </w:rPr>
      </w:pPr>
      <w:r w:rsidRPr="00784F6A">
        <w:rPr>
          <w:iCs/>
        </w:rPr>
        <w:t xml:space="preserve">g) </w:t>
      </w:r>
      <w:r w:rsidR="006C2E72" w:rsidRPr="00784F6A">
        <w:rPr>
          <w:iCs/>
        </w:rPr>
        <w:tab/>
        <w:t>T</w:t>
      </w:r>
      <w:r w:rsidRPr="00784F6A">
        <w:rPr>
          <w:iCs/>
        </w:rPr>
        <w:t>enir compte du fait que la mise en œuvre des conventions relatives à la diversité biologique et des accords multilatéraux sur l</w:t>
      </w:r>
      <w:r w:rsidR="0059442D">
        <w:rPr>
          <w:iCs/>
        </w:rPr>
        <w:t>’</w:t>
      </w:r>
      <w:r w:rsidRPr="00784F6A">
        <w:rPr>
          <w:iCs/>
        </w:rPr>
        <w:t>environnement, dans le contexte des stratégies et plans d</w:t>
      </w:r>
      <w:r w:rsidR="0059442D">
        <w:rPr>
          <w:iCs/>
        </w:rPr>
        <w:t>’</w:t>
      </w:r>
      <w:r w:rsidRPr="00784F6A">
        <w:rPr>
          <w:iCs/>
        </w:rPr>
        <w:t xml:space="preserve">action nationaux pour la biodiversité, peut contribuer à la réalisation des objectifs de la Convention sur la diversité biologique et de ses </w:t>
      </w:r>
      <w:r w:rsidR="00CF3FA3">
        <w:rPr>
          <w:iCs/>
        </w:rPr>
        <w:t>P</w:t>
      </w:r>
      <w:r w:rsidRPr="00784F6A">
        <w:rPr>
          <w:iCs/>
        </w:rPr>
        <w:t>rotocoles, ainsi que des objectifs et cibles du Cadre</w:t>
      </w:r>
      <w:r w:rsidR="00202E35" w:rsidRPr="00784F6A">
        <w:rPr>
          <w:iCs/>
        </w:rPr>
        <w:t> </w:t>
      </w:r>
      <w:r w:rsidR="00B14B10" w:rsidRPr="00784F6A">
        <w:rPr>
          <w:iCs/>
        </w:rPr>
        <w:t>;</w:t>
      </w:r>
    </w:p>
    <w:p w14:paraId="7D8A3E3D" w14:textId="51871AC7" w:rsidR="00263FAB" w:rsidRPr="00784F6A" w:rsidRDefault="00B14B10" w:rsidP="00263FAB">
      <w:pPr>
        <w:tabs>
          <w:tab w:val="left" w:pos="2835"/>
          <w:tab w:val="left" w:pos="3402"/>
        </w:tabs>
        <w:spacing w:after="120"/>
        <w:ind w:left="567" w:firstLine="567"/>
        <w:rPr>
          <w:iCs/>
        </w:rPr>
      </w:pPr>
      <w:r w:rsidRPr="00784F6A">
        <w:rPr>
          <w:iCs/>
        </w:rPr>
        <w:t>h)</w:t>
      </w:r>
      <w:r w:rsidRPr="00784F6A">
        <w:rPr>
          <w:iCs/>
        </w:rPr>
        <w:tab/>
      </w:r>
      <w:r w:rsidR="00263FAB" w:rsidRPr="00784F6A">
        <w:rPr>
          <w:iCs/>
        </w:rPr>
        <w:t>Promouvoir la coopération et la complémentarité dans la mise en œuvre des trois objectifs de la Convention sur la diversité biologique et des objectifs connexes des autres conventions pour lesquelles œuvre le Fonds pour l</w:t>
      </w:r>
      <w:r w:rsidR="0059442D">
        <w:rPr>
          <w:iCs/>
        </w:rPr>
        <w:t>’</w:t>
      </w:r>
      <w:r w:rsidR="00263FAB" w:rsidRPr="00784F6A">
        <w:rPr>
          <w:iCs/>
        </w:rPr>
        <w:t>environnement mondial, ainsi que ceux d</w:t>
      </w:r>
      <w:r w:rsidR="0059442D">
        <w:rPr>
          <w:iCs/>
        </w:rPr>
        <w:t>’</w:t>
      </w:r>
      <w:r w:rsidR="00263FAB" w:rsidRPr="00784F6A">
        <w:rPr>
          <w:iCs/>
        </w:rPr>
        <w:t>autres conventions et accords multilatéraux sur l</w:t>
      </w:r>
      <w:r w:rsidR="0059442D">
        <w:rPr>
          <w:iCs/>
        </w:rPr>
        <w:t>’</w:t>
      </w:r>
      <w:r w:rsidR="00263FAB" w:rsidRPr="00784F6A">
        <w:rPr>
          <w:iCs/>
        </w:rPr>
        <w:t xml:space="preserve">environnement liés à la diversité biologique, tout en tenant compte des synergies et en reconnaissant les possibilités de contribution de ces instruments aux objectifs de la Convention et de ses </w:t>
      </w:r>
      <w:r w:rsidR="00CF3FA3">
        <w:rPr>
          <w:iCs/>
        </w:rPr>
        <w:t>P</w:t>
      </w:r>
      <w:r w:rsidR="00263FAB" w:rsidRPr="00784F6A">
        <w:rPr>
          <w:iCs/>
        </w:rPr>
        <w:t>rotocoles ainsi qu</w:t>
      </w:r>
      <w:r w:rsidR="0059442D">
        <w:rPr>
          <w:iCs/>
        </w:rPr>
        <w:t>’</w:t>
      </w:r>
      <w:r w:rsidR="00263FAB" w:rsidRPr="00784F6A">
        <w:rPr>
          <w:iCs/>
        </w:rPr>
        <w:t>au Cadre, et les contributions réciproques à leurs propres objectifs</w:t>
      </w:r>
      <w:r w:rsidR="00202E35" w:rsidRPr="00784F6A">
        <w:rPr>
          <w:iCs/>
        </w:rPr>
        <w:t> </w:t>
      </w:r>
      <w:r w:rsidR="00263FAB" w:rsidRPr="00784F6A">
        <w:rPr>
          <w:iCs/>
        </w:rPr>
        <w:t>;</w:t>
      </w:r>
    </w:p>
    <w:p w14:paraId="3B8292A6" w14:textId="77777777" w:rsidR="00263FAB" w:rsidRPr="00784F6A" w:rsidRDefault="00263FAB" w:rsidP="00263FAB">
      <w:pPr>
        <w:tabs>
          <w:tab w:val="left" w:pos="2835"/>
          <w:tab w:val="left" w:pos="3402"/>
        </w:tabs>
        <w:spacing w:after="120"/>
        <w:ind w:left="567" w:firstLine="567"/>
        <w:rPr>
          <w:iCs/>
        </w:rPr>
      </w:pPr>
      <w:r w:rsidRPr="00784F6A">
        <w:rPr>
          <w:iCs/>
        </w:rPr>
        <w:t>i)</w:t>
      </w:r>
      <w:r w:rsidR="006C2E72" w:rsidRPr="00784F6A">
        <w:rPr>
          <w:iCs/>
        </w:rPr>
        <w:t xml:space="preserve"> </w:t>
      </w:r>
      <w:r w:rsidR="006C2E72" w:rsidRPr="00784F6A">
        <w:rPr>
          <w:iCs/>
        </w:rPr>
        <w:tab/>
      </w:r>
      <w:r w:rsidRPr="00784F6A">
        <w:rPr>
          <w:iCs/>
        </w:rPr>
        <w:t>Renforcer les efforts du Fonds pour l</w:t>
      </w:r>
      <w:r w:rsidR="0059442D">
        <w:rPr>
          <w:iCs/>
        </w:rPr>
        <w:t>’</w:t>
      </w:r>
      <w:r w:rsidRPr="00784F6A">
        <w:rPr>
          <w:iCs/>
        </w:rPr>
        <w:t>environnement mondial en vue de mobiliser toutes les parties prenantes, y compris le secteur privé, les peuples autochtones et communautés locales, les femmes et les jeunes, et de s</w:t>
      </w:r>
      <w:r w:rsidR="0059442D">
        <w:rPr>
          <w:iCs/>
        </w:rPr>
        <w:t>’</w:t>
      </w:r>
      <w:r w:rsidRPr="00784F6A">
        <w:rPr>
          <w:iCs/>
        </w:rPr>
        <w:t>assurer de leur participation</w:t>
      </w:r>
      <w:r w:rsidR="00202E35" w:rsidRPr="00784F6A">
        <w:rPr>
          <w:iCs/>
        </w:rPr>
        <w:t> </w:t>
      </w:r>
      <w:r w:rsidRPr="00784F6A">
        <w:rPr>
          <w:iCs/>
        </w:rPr>
        <w:t>;</w:t>
      </w:r>
    </w:p>
    <w:p w14:paraId="1B40BC5B" w14:textId="77777777" w:rsidR="00B14B10" w:rsidRPr="00784F6A" w:rsidRDefault="00263FAB" w:rsidP="00263FAB">
      <w:pPr>
        <w:tabs>
          <w:tab w:val="left" w:pos="2835"/>
          <w:tab w:val="left" w:pos="3402"/>
        </w:tabs>
        <w:spacing w:after="120"/>
        <w:ind w:left="567" w:firstLine="567"/>
        <w:rPr>
          <w:iCs/>
        </w:rPr>
      </w:pPr>
      <w:r w:rsidRPr="00784F6A">
        <w:rPr>
          <w:iCs/>
        </w:rPr>
        <w:t xml:space="preserve">j) </w:t>
      </w:r>
      <w:r w:rsidR="006C2E72" w:rsidRPr="00784F6A">
        <w:rPr>
          <w:iCs/>
        </w:rPr>
        <w:tab/>
      </w:r>
      <w:r w:rsidRPr="00784F6A">
        <w:rPr>
          <w:iCs/>
        </w:rPr>
        <w:t xml:space="preserve">Prendre en compte la contribution importante que peuvent apporter les projets transfrontaliers, multinationaux, régionaux et mondiaux à la mise en œuvre des objectifs de la Convention sur la diversité biologique et de ses Protocoles et du Cadre, y compris à la mise en œuvre des initiatives mondiales adoptées au titre de la Convention et de ses Protocoles, et des initiatives </w:t>
      </w:r>
      <w:r w:rsidRPr="00784F6A">
        <w:rPr>
          <w:iCs/>
        </w:rPr>
        <w:lastRenderedPageBreak/>
        <w:t>transfrontalières, multinationales, régionales et mondiales qui tirent parti des contributions des conventions et des accords multilatéraux relatifs à la diversité biologique</w:t>
      </w:r>
      <w:r w:rsidR="00202E35" w:rsidRPr="00784F6A">
        <w:rPr>
          <w:iCs/>
        </w:rPr>
        <w:t> </w:t>
      </w:r>
      <w:r w:rsidR="00B14B10" w:rsidRPr="00784F6A">
        <w:rPr>
          <w:iCs/>
        </w:rPr>
        <w:t>;</w:t>
      </w:r>
      <w:bookmarkStart w:id="7" w:name="_Hlk94282923"/>
    </w:p>
    <w:p w14:paraId="1D869E91" w14:textId="77777777" w:rsidR="00B14B10" w:rsidRPr="00784F6A" w:rsidRDefault="00B14B10" w:rsidP="00B14B10">
      <w:pPr>
        <w:tabs>
          <w:tab w:val="left" w:pos="2835"/>
          <w:tab w:val="left" w:pos="3402"/>
        </w:tabs>
        <w:spacing w:after="120"/>
        <w:ind w:left="567" w:firstLine="567"/>
        <w:rPr>
          <w:rFonts w:eastAsia="Times New Roman"/>
          <w:color w:val="000000"/>
        </w:rPr>
      </w:pPr>
      <w:r w:rsidRPr="00784F6A">
        <w:rPr>
          <w:rFonts w:eastAsia="Times New Roman"/>
          <w:color w:val="000000"/>
        </w:rPr>
        <w:t>k)</w:t>
      </w:r>
      <w:r w:rsidRPr="00784F6A">
        <w:rPr>
          <w:rFonts w:eastAsia="Times New Roman"/>
          <w:color w:val="000000"/>
        </w:rPr>
        <w:tab/>
      </w:r>
      <w:r w:rsidR="00263FAB" w:rsidRPr="00784F6A">
        <w:rPr>
          <w:rFonts w:eastAsia="Times New Roman"/>
          <w:color w:val="000000"/>
        </w:rPr>
        <w:t>Promouvoir et mettre en œuvre, le cas échéant, des solutions fondées sur la nature ou des approches fondées sur les écosystèmes</w:t>
      </w:r>
      <w:r w:rsidRPr="00784F6A">
        <w:rPr>
          <w:rFonts w:eastAsia="Times New Roman"/>
          <w:color w:val="000000"/>
          <w:vertAlign w:val="superscript"/>
        </w:rPr>
        <w:footnoteReference w:id="30"/>
      </w:r>
      <w:r w:rsidR="00263FAB" w:rsidRPr="00784F6A">
        <w:rPr>
          <w:rFonts w:eastAsia="Times New Roman"/>
          <w:color w:val="000000"/>
        </w:rPr>
        <w:t>.</w:t>
      </w:r>
      <w:r w:rsidRPr="00784F6A">
        <w:rPr>
          <w:rFonts w:eastAsia="Times New Roman"/>
          <w:color w:val="000000"/>
        </w:rPr>
        <w:t xml:space="preserve"> </w:t>
      </w:r>
    </w:p>
    <w:p w14:paraId="507DDA4C" w14:textId="650AD27E" w:rsidR="00263FAB" w:rsidRPr="00784F6A" w:rsidRDefault="00B14B10" w:rsidP="00CF3FA3">
      <w:pPr>
        <w:tabs>
          <w:tab w:val="left" w:pos="2835"/>
          <w:tab w:val="left" w:pos="3402"/>
        </w:tabs>
        <w:spacing w:after="120"/>
        <w:ind w:left="567"/>
      </w:pPr>
      <w:r w:rsidRPr="00784F6A">
        <w:t>11.</w:t>
      </w:r>
      <w:r w:rsidRPr="00784F6A">
        <w:tab/>
      </w:r>
      <w:bookmarkEnd w:id="7"/>
      <w:r w:rsidR="00263FAB" w:rsidRPr="00784F6A">
        <w:t xml:space="preserve">Les résultats et les indicateurs de la neuvième </w:t>
      </w:r>
      <w:r w:rsidR="00CF3FA3">
        <w:t>reconstitution des ressources de la Caisse</w:t>
      </w:r>
      <w:r w:rsidR="00E357CE" w:rsidRPr="00784F6A">
        <w:t xml:space="preserve"> du</w:t>
      </w:r>
      <w:r w:rsidR="00263FAB" w:rsidRPr="00784F6A">
        <w:t xml:space="preserve"> Fonds pour l</w:t>
      </w:r>
      <w:r w:rsidR="0059442D">
        <w:t>’</w:t>
      </w:r>
      <w:r w:rsidR="00263FAB" w:rsidRPr="00784F6A">
        <w:t>environnement mondial et les processus de suivi associés devraient permettre d</w:t>
      </w:r>
      <w:r w:rsidR="0059442D">
        <w:t>’</w:t>
      </w:r>
      <w:r w:rsidR="00263FAB" w:rsidRPr="00784F6A">
        <w:t>évaluer efficacement la contribution de la programmation à la réalisation des trois objectifs de la Convention, à la mise en œuvre de ses Protocoles et à la mise en œuvre du Cadre, notamment en mesurant les avantages connexes pour la biodiversité dans l</w:t>
      </w:r>
      <w:r w:rsidR="0059442D">
        <w:t>’</w:t>
      </w:r>
      <w:r w:rsidR="00263FAB" w:rsidRPr="00784F6A">
        <w:t>ensemble des activités pertinentes du Fonds.</w:t>
      </w:r>
    </w:p>
    <w:p w14:paraId="072C633D" w14:textId="77777777" w:rsidR="00B14B10" w:rsidRPr="00784F6A" w:rsidRDefault="00263FAB" w:rsidP="00CF3FA3">
      <w:pPr>
        <w:tabs>
          <w:tab w:val="left" w:pos="2835"/>
          <w:tab w:val="left" w:pos="3402"/>
        </w:tabs>
        <w:spacing w:after="120"/>
        <w:ind w:left="567"/>
      </w:pPr>
      <w:r w:rsidRPr="00784F6A">
        <w:t>12.    Au cours de la neuvième période de reconstitution de sa Caisse, le Fonds pour l</w:t>
      </w:r>
      <w:r w:rsidR="0059442D">
        <w:t>’</w:t>
      </w:r>
      <w:r w:rsidRPr="00784F6A">
        <w:t>environnement mondial devrait</w:t>
      </w:r>
      <w:r w:rsidR="00436638" w:rsidRPr="00784F6A">
        <w:t> </w:t>
      </w:r>
      <w:r w:rsidR="00B14B10" w:rsidRPr="00784F6A">
        <w:t>:</w:t>
      </w:r>
    </w:p>
    <w:p w14:paraId="4CE7D587" w14:textId="49306D2C" w:rsidR="00263FAB" w:rsidRPr="00784F6A" w:rsidRDefault="00B14B10" w:rsidP="00263FAB">
      <w:pPr>
        <w:tabs>
          <w:tab w:val="left" w:pos="2835"/>
          <w:tab w:val="left" w:pos="3402"/>
        </w:tabs>
        <w:spacing w:after="120"/>
        <w:ind w:left="567" w:firstLine="567"/>
        <w:rPr>
          <w:iCs/>
        </w:rPr>
      </w:pPr>
      <w:r w:rsidRPr="00784F6A">
        <w:rPr>
          <w:iCs/>
        </w:rPr>
        <w:t>a)</w:t>
      </w:r>
      <w:r w:rsidRPr="00784F6A">
        <w:rPr>
          <w:iCs/>
        </w:rPr>
        <w:tab/>
      </w:r>
      <w:r w:rsidR="00263FAB" w:rsidRPr="00784F6A">
        <w:rPr>
          <w:iCs/>
        </w:rPr>
        <w:t xml:space="preserve">Veiller à ce que le niveau de financement accordé aux </w:t>
      </w:r>
      <w:r w:rsidR="00F35B4E">
        <w:rPr>
          <w:iCs/>
        </w:rPr>
        <w:t>Parties</w:t>
      </w:r>
      <w:r w:rsidR="00263FAB" w:rsidRPr="00784F6A">
        <w:rPr>
          <w:iCs/>
        </w:rPr>
        <w:t xml:space="preserve"> </w:t>
      </w:r>
      <w:r w:rsidR="00656D3B" w:rsidRPr="00784F6A">
        <w:rPr>
          <w:iCs/>
        </w:rPr>
        <w:t>admissibles</w:t>
      </w:r>
      <w:r w:rsidR="00263FAB" w:rsidRPr="00784F6A">
        <w:rPr>
          <w:iCs/>
        </w:rPr>
        <w:t xml:space="preserve"> soit à la hauteur de l</w:t>
      </w:r>
      <w:r w:rsidR="0059442D">
        <w:rPr>
          <w:iCs/>
        </w:rPr>
        <w:t>’</w:t>
      </w:r>
      <w:r w:rsidR="00263FAB" w:rsidRPr="00784F6A">
        <w:rPr>
          <w:iCs/>
        </w:rPr>
        <w:t xml:space="preserve">ambition du cadre et des besoins et difficultés </w:t>
      </w:r>
      <w:r w:rsidR="00F35B4E">
        <w:rPr>
          <w:iCs/>
        </w:rPr>
        <w:t xml:space="preserve">de ces </w:t>
      </w:r>
      <w:r w:rsidR="00F35B4E">
        <w:rPr>
          <w:iCs/>
        </w:rPr>
        <w:t>Parties</w:t>
      </w:r>
      <w:r w:rsidR="00202E35" w:rsidRPr="00784F6A">
        <w:rPr>
          <w:iCs/>
        </w:rPr>
        <w:t> </w:t>
      </w:r>
      <w:r w:rsidR="00263FAB" w:rsidRPr="00784F6A">
        <w:rPr>
          <w:iCs/>
        </w:rPr>
        <w:t>;</w:t>
      </w:r>
    </w:p>
    <w:p w14:paraId="74F788FC" w14:textId="5E531A5C" w:rsidR="00263FAB" w:rsidRPr="00784F6A" w:rsidRDefault="00263FAB" w:rsidP="00263FAB">
      <w:pPr>
        <w:tabs>
          <w:tab w:val="left" w:pos="2835"/>
          <w:tab w:val="left" w:pos="3402"/>
        </w:tabs>
        <w:spacing w:after="120"/>
        <w:ind w:left="567" w:firstLine="567"/>
        <w:rPr>
          <w:iCs/>
        </w:rPr>
      </w:pPr>
      <w:r w:rsidRPr="00784F6A">
        <w:rPr>
          <w:iCs/>
        </w:rPr>
        <w:t xml:space="preserve">b) </w:t>
      </w:r>
      <w:r w:rsidRPr="00784F6A">
        <w:rPr>
          <w:iCs/>
        </w:rPr>
        <w:tab/>
        <w:t>Étudier les moyens de continuer à améliorer l</w:t>
      </w:r>
      <w:r w:rsidR="0059442D">
        <w:rPr>
          <w:iCs/>
        </w:rPr>
        <w:t>’</w:t>
      </w:r>
      <w:r w:rsidRPr="00784F6A">
        <w:rPr>
          <w:iCs/>
        </w:rPr>
        <w:t xml:space="preserve">accès des </w:t>
      </w:r>
      <w:r w:rsidR="00F35B4E">
        <w:rPr>
          <w:iCs/>
        </w:rPr>
        <w:t>Parties</w:t>
      </w:r>
      <w:r w:rsidR="00F35B4E" w:rsidRPr="00784F6A">
        <w:rPr>
          <w:iCs/>
        </w:rPr>
        <w:t xml:space="preserve"> </w:t>
      </w:r>
      <w:r w:rsidRPr="00784F6A">
        <w:rPr>
          <w:iCs/>
        </w:rPr>
        <w:t>admissibles au financement ;</w:t>
      </w:r>
    </w:p>
    <w:p w14:paraId="574F2FCB" w14:textId="77777777" w:rsidR="00263FAB" w:rsidRPr="00784F6A" w:rsidRDefault="00263FAB" w:rsidP="00263FAB">
      <w:pPr>
        <w:tabs>
          <w:tab w:val="left" w:pos="2835"/>
          <w:tab w:val="left" w:pos="3402"/>
        </w:tabs>
        <w:spacing w:after="120"/>
        <w:ind w:left="567" w:firstLine="567"/>
        <w:rPr>
          <w:iCs/>
        </w:rPr>
      </w:pPr>
      <w:r w:rsidRPr="00784F6A">
        <w:rPr>
          <w:iCs/>
        </w:rPr>
        <w:t xml:space="preserve">c) </w:t>
      </w:r>
      <w:r w:rsidRPr="00784F6A">
        <w:rPr>
          <w:iCs/>
        </w:rPr>
        <w:tab/>
        <w:t>Étudier les moyens de continuer à soutenir le renforcement des capacités et d</w:t>
      </w:r>
      <w:r w:rsidR="0059442D">
        <w:rPr>
          <w:iCs/>
        </w:rPr>
        <w:t>’</w:t>
      </w:r>
      <w:r w:rsidRPr="00784F6A">
        <w:rPr>
          <w:iCs/>
        </w:rPr>
        <w:t>améliorer l</w:t>
      </w:r>
      <w:r w:rsidR="0059442D">
        <w:rPr>
          <w:iCs/>
        </w:rPr>
        <w:t>’</w:t>
      </w:r>
      <w:r w:rsidRPr="00784F6A">
        <w:rPr>
          <w:iCs/>
        </w:rPr>
        <w:t>accès direct au financement des peuples autochtones et communautés locales qui incarnent des modes de vie traditionnels et détiennent des connaissances, innovations et pratiques traditionnelles présentant un intérêt pour la conservation de la diversité biologique et l</w:t>
      </w:r>
      <w:r w:rsidR="0059442D">
        <w:rPr>
          <w:iCs/>
        </w:rPr>
        <w:t>’</w:t>
      </w:r>
      <w:r w:rsidRPr="00784F6A">
        <w:rPr>
          <w:iCs/>
        </w:rPr>
        <w:t>utilisation durable de ses éléments, et d</w:t>
      </w:r>
      <w:r w:rsidR="0059442D">
        <w:rPr>
          <w:iCs/>
        </w:rPr>
        <w:t>’</w:t>
      </w:r>
      <w:r w:rsidRPr="00784F6A">
        <w:rPr>
          <w:iCs/>
        </w:rPr>
        <w:t>appuyer les activités et initiatives des femmes et des jeunes qui renforcent la diversité biologique</w:t>
      </w:r>
      <w:r w:rsidR="00202E35" w:rsidRPr="00784F6A">
        <w:rPr>
          <w:iCs/>
        </w:rPr>
        <w:t> </w:t>
      </w:r>
      <w:r w:rsidRPr="00784F6A">
        <w:rPr>
          <w:iCs/>
        </w:rPr>
        <w:t>;</w:t>
      </w:r>
    </w:p>
    <w:p w14:paraId="13E96F84" w14:textId="77777777" w:rsidR="00263FAB" w:rsidRPr="00784F6A" w:rsidRDefault="00263FAB" w:rsidP="00263FAB">
      <w:pPr>
        <w:tabs>
          <w:tab w:val="left" w:pos="2835"/>
          <w:tab w:val="left" w:pos="3402"/>
        </w:tabs>
        <w:spacing w:after="120"/>
        <w:ind w:left="567" w:firstLine="567"/>
        <w:rPr>
          <w:iCs/>
        </w:rPr>
      </w:pPr>
      <w:r w:rsidRPr="00784F6A">
        <w:rPr>
          <w:iCs/>
        </w:rPr>
        <w:t xml:space="preserve">d) </w:t>
      </w:r>
      <w:r w:rsidRPr="00784F6A">
        <w:rPr>
          <w:iCs/>
        </w:rPr>
        <w:tab/>
        <w:t>Renforcer les capacités et apporter un appui aux Parties admissibles afin d</w:t>
      </w:r>
      <w:r w:rsidR="0059442D">
        <w:rPr>
          <w:iCs/>
        </w:rPr>
        <w:t>’</w:t>
      </w:r>
      <w:r w:rsidRPr="00784F6A">
        <w:rPr>
          <w:iCs/>
        </w:rPr>
        <w:t>améliorer la représentation et la participation pleines et effectives des peuples autochtones et communautés locales, des femmes et des jeunes à la mise en œuvre du Cadre</w:t>
      </w:r>
      <w:r w:rsidR="00202E35" w:rsidRPr="00784F6A">
        <w:rPr>
          <w:iCs/>
        </w:rPr>
        <w:t> </w:t>
      </w:r>
      <w:r w:rsidRPr="00784F6A">
        <w:rPr>
          <w:iCs/>
        </w:rPr>
        <w:t>;</w:t>
      </w:r>
    </w:p>
    <w:p w14:paraId="7D67DC96" w14:textId="7412C3D1" w:rsidR="00263FAB" w:rsidRPr="00784F6A" w:rsidRDefault="00263FAB" w:rsidP="00263FAB">
      <w:pPr>
        <w:tabs>
          <w:tab w:val="left" w:pos="2835"/>
          <w:tab w:val="left" w:pos="3402"/>
        </w:tabs>
        <w:spacing w:after="120"/>
        <w:ind w:left="567" w:firstLine="567"/>
        <w:rPr>
          <w:iCs/>
        </w:rPr>
      </w:pPr>
      <w:r w:rsidRPr="00784F6A">
        <w:rPr>
          <w:iCs/>
        </w:rPr>
        <w:t xml:space="preserve">e) </w:t>
      </w:r>
      <w:r w:rsidRPr="00784F6A">
        <w:rPr>
          <w:iCs/>
        </w:rPr>
        <w:tab/>
        <w:t>Continuer à interagir et à coopérer avec les banques multilatérales de développement et d</w:t>
      </w:r>
      <w:r w:rsidR="0059442D">
        <w:rPr>
          <w:iCs/>
        </w:rPr>
        <w:t>’</w:t>
      </w:r>
      <w:r w:rsidRPr="00784F6A">
        <w:rPr>
          <w:iCs/>
        </w:rPr>
        <w:t xml:space="preserve">autres institutions financières publiques et privées </w:t>
      </w:r>
      <w:r w:rsidR="00690BEB">
        <w:rPr>
          <w:iCs/>
        </w:rPr>
        <w:t>afin</w:t>
      </w:r>
      <w:r w:rsidRPr="00784F6A">
        <w:rPr>
          <w:iCs/>
        </w:rPr>
        <w:t xml:space="preserve"> de faciliter l</w:t>
      </w:r>
      <w:r w:rsidR="0059442D">
        <w:rPr>
          <w:iCs/>
        </w:rPr>
        <w:t>’</w:t>
      </w:r>
      <w:r w:rsidRPr="00784F6A">
        <w:rPr>
          <w:iCs/>
        </w:rPr>
        <w:t>intégration dans leurs activités des objectifs de la Convention et de ses Protocoles, des objectifs et cibles du Cadre et des contributions d</w:t>
      </w:r>
      <w:r w:rsidR="0059442D">
        <w:rPr>
          <w:iCs/>
        </w:rPr>
        <w:t>’</w:t>
      </w:r>
      <w:r w:rsidRPr="00784F6A">
        <w:rPr>
          <w:iCs/>
        </w:rPr>
        <w:t>autres conventions et accords multilatéraux sur l</w:t>
      </w:r>
      <w:r w:rsidR="0059442D">
        <w:rPr>
          <w:iCs/>
        </w:rPr>
        <w:t>’</w:t>
      </w:r>
      <w:r w:rsidRPr="00784F6A">
        <w:rPr>
          <w:iCs/>
        </w:rPr>
        <w:t>environnement liés à la biodiversité, et encourager ces institutions à rendre compte des financements contribuant à la mise en œuvre de ces objectifs</w:t>
      </w:r>
      <w:r w:rsidR="00202E35" w:rsidRPr="00784F6A">
        <w:rPr>
          <w:iCs/>
        </w:rPr>
        <w:t> </w:t>
      </w:r>
      <w:r w:rsidRPr="00784F6A">
        <w:rPr>
          <w:iCs/>
        </w:rPr>
        <w:t>;</w:t>
      </w:r>
    </w:p>
    <w:p w14:paraId="14866B31" w14:textId="77777777" w:rsidR="00B14B10" w:rsidRPr="00784F6A" w:rsidRDefault="00263FAB" w:rsidP="00263FAB">
      <w:pPr>
        <w:tabs>
          <w:tab w:val="left" w:pos="2835"/>
          <w:tab w:val="left" w:pos="3402"/>
        </w:tabs>
        <w:spacing w:after="120"/>
        <w:ind w:left="567" w:firstLine="567"/>
      </w:pPr>
      <w:r w:rsidRPr="00784F6A">
        <w:rPr>
          <w:iCs/>
        </w:rPr>
        <w:t xml:space="preserve">f) </w:t>
      </w:r>
      <w:r w:rsidRPr="00784F6A">
        <w:rPr>
          <w:iCs/>
        </w:rPr>
        <w:tab/>
        <w:t>Continuer à renforcer ses politiques en matière de gouvernance et les normes auxquelles sont soumis ses partenaires de mise en œuvre afin d</w:t>
      </w:r>
      <w:r w:rsidR="0059442D">
        <w:rPr>
          <w:iCs/>
        </w:rPr>
        <w:t>’</w:t>
      </w:r>
      <w:r w:rsidRPr="00784F6A">
        <w:rPr>
          <w:iCs/>
        </w:rPr>
        <w:t>améliorer son efficacité et son efficience en vue d</w:t>
      </w:r>
      <w:r w:rsidR="0059442D">
        <w:rPr>
          <w:iCs/>
        </w:rPr>
        <w:t>’</w:t>
      </w:r>
      <w:r w:rsidRPr="00784F6A">
        <w:rPr>
          <w:iCs/>
        </w:rPr>
        <w:t>obtenir des résultats durables.</w:t>
      </w:r>
    </w:p>
    <w:p w14:paraId="03CB04A8" w14:textId="77777777" w:rsidR="00B14B10" w:rsidRPr="00784F6A" w:rsidRDefault="00B14B10" w:rsidP="00B14B10">
      <w:pPr>
        <w:keepNext/>
        <w:keepLines/>
        <w:tabs>
          <w:tab w:val="left" w:pos="2835"/>
          <w:tab w:val="left" w:pos="3402"/>
        </w:tabs>
        <w:spacing w:before="240" w:after="120"/>
        <w:ind w:left="567" w:hanging="567"/>
        <w:jc w:val="left"/>
        <w:rPr>
          <w:bCs/>
        </w:rPr>
      </w:pPr>
      <w:r w:rsidRPr="00784F6A">
        <w:rPr>
          <w:b/>
          <w:bCs/>
        </w:rPr>
        <w:t>IV.</w:t>
      </w:r>
      <w:r w:rsidRPr="00784F6A">
        <w:rPr>
          <w:b/>
          <w:bCs/>
        </w:rPr>
        <w:tab/>
      </w:r>
      <w:r w:rsidR="00263FAB" w:rsidRPr="00784F6A">
        <w:rPr>
          <w:b/>
        </w:rPr>
        <w:t>Compte-rendu</w:t>
      </w:r>
    </w:p>
    <w:p w14:paraId="3C70BD92" w14:textId="3FDC3848" w:rsidR="00CF3FA3" w:rsidRDefault="00B14B10" w:rsidP="00CF3FA3">
      <w:pPr>
        <w:tabs>
          <w:tab w:val="left" w:pos="2835"/>
          <w:tab w:val="left" w:pos="3402"/>
        </w:tabs>
        <w:spacing w:after="120"/>
        <w:ind w:left="567"/>
      </w:pPr>
      <w:bookmarkStart w:id="8" w:name="_Hlk181357436"/>
      <w:r w:rsidRPr="00784F6A">
        <w:rPr>
          <w:rFonts w:eastAsia="Calibri"/>
        </w:rPr>
        <w:t>13.</w:t>
      </w:r>
      <w:r w:rsidRPr="00784F6A">
        <w:rPr>
          <w:rFonts w:eastAsia="Calibri"/>
        </w:rPr>
        <w:tab/>
      </w:r>
      <w:bookmarkEnd w:id="8"/>
      <w:r w:rsidR="00263FAB" w:rsidRPr="00784F6A">
        <w:t>À l</w:t>
      </w:r>
      <w:r w:rsidR="0059442D">
        <w:t>’</w:t>
      </w:r>
      <w:r w:rsidR="00263FAB" w:rsidRPr="00784F6A">
        <w:t xml:space="preserve">issue de la neuvième reconstitution </w:t>
      </w:r>
      <w:r w:rsidR="00690BEB">
        <w:t xml:space="preserve">des ressources </w:t>
      </w:r>
      <w:r w:rsidR="00263FAB" w:rsidRPr="00784F6A">
        <w:t>de sa Caisse, le Conseil du Fonds pour l</w:t>
      </w:r>
      <w:r w:rsidR="0059442D">
        <w:t>’</w:t>
      </w:r>
      <w:r w:rsidR="00263FAB" w:rsidRPr="00784F6A">
        <w:t xml:space="preserve">environnement mondial inclura dans ses rapports à la Conférence des Parties une description de la manière dont la neuvième reconstitution a </w:t>
      </w:r>
      <w:r w:rsidR="00E17F11" w:rsidRPr="00784F6A">
        <w:t>tenu compte du</w:t>
      </w:r>
      <w:r w:rsidR="00263FAB" w:rsidRPr="00784F6A">
        <w:t xml:space="preserve"> cadre quadriennal axé sur les résultats des priorités du programme </w:t>
      </w:r>
      <w:r w:rsidR="00E357CE" w:rsidRPr="00784F6A">
        <w:t>sur</w:t>
      </w:r>
      <w:r w:rsidR="00263FAB" w:rsidRPr="00784F6A">
        <w:t xml:space="preserve"> la biodiversité et, grâce aux éléments de ses orientations </w:t>
      </w:r>
      <w:r w:rsidR="000134C5" w:rsidRPr="00784F6A">
        <w:t>programmatiques</w:t>
      </w:r>
      <w:r w:rsidR="00263FAB" w:rsidRPr="00784F6A">
        <w:t>, contribue à la mise en œuvre de la Convention et de ses Protocoles ainsi que de chaque objectif et cible du Cadre mondial de la biodiversité de Kunming-Montréal et de son cadre de suivi</w:t>
      </w:r>
      <w:r w:rsidRPr="00784F6A">
        <w:rPr>
          <w:vertAlign w:val="superscript"/>
        </w:rPr>
        <w:footnoteReference w:id="31"/>
      </w:r>
      <w:r w:rsidR="00263FAB" w:rsidRPr="00784F6A">
        <w:t>.</w:t>
      </w:r>
      <w:bookmarkStart w:id="9" w:name="_Hlk163323785"/>
    </w:p>
    <w:p w14:paraId="6DE78322" w14:textId="2C270783" w:rsidR="00B14B10" w:rsidRPr="00CF3FA3" w:rsidRDefault="00263FAB" w:rsidP="00CF3FA3">
      <w:pPr>
        <w:tabs>
          <w:tab w:val="left" w:pos="2835"/>
          <w:tab w:val="left" w:pos="3402"/>
        </w:tabs>
        <w:spacing w:after="120"/>
        <w:ind w:left="567"/>
        <w:jc w:val="left"/>
      </w:pPr>
      <w:r w:rsidRPr="00784F6A">
        <w:rPr>
          <w:b/>
          <w:bCs/>
          <w:iCs/>
          <w:snapToGrid w:val="0"/>
          <w:kern w:val="22"/>
          <w:lang w:bidi="ar-SY"/>
        </w:rPr>
        <w:t>Pièce jointe</w:t>
      </w:r>
      <w:r w:rsidR="00B14B10" w:rsidRPr="00784F6A">
        <w:rPr>
          <w:b/>
          <w:bCs/>
          <w:iCs/>
          <w:lang w:bidi="ar-SY"/>
        </w:rPr>
        <w:t xml:space="preserve"> I</w:t>
      </w:r>
      <w:r w:rsidR="00B14B10" w:rsidRPr="00784F6A">
        <w:rPr>
          <w:bCs/>
          <w:iCs/>
          <w:lang w:bidi="ar-SY"/>
        </w:rPr>
        <w:br/>
      </w:r>
      <w:r w:rsidRPr="00784F6A">
        <w:rPr>
          <w:b/>
          <w:snapToGrid w:val="0"/>
          <w:lang w:bidi="ar-SY"/>
        </w:rPr>
        <w:t xml:space="preserve">Éléments supplémentaires du cadre quadriennal axé sur les résultats des priorités du programme sur la biodiversité de la Convention sur la diversité biologique pour la neuvième </w:t>
      </w:r>
      <w:r w:rsidR="00CF3FA3">
        <w:rPr>
          <w:b/>
          <w:snapToGrid w:val="0"/>
          <w:lang w:bidi="ar-SY"/>
        </w:rPr>
        <w:lastRenderedPageBreak/>
        <w:t>reconstitution des ressources de la Caisse</w:t>
      </w:r>
      <w:r w:rsidRPr="00784F6A">
        <w:rPr>
          <w:b/>
          <w:snapToGrid w:val="0"/>
          <w:lang w:bidi="ar-SY"/>
        </w:rPr>
        <w:t xml:space="preserve"> du Fonds pour l</w:t>
      </w:r>
      <w:r w:rsidR="0059442D">
        <w:rPr>
          <w:b/>
          <w:snapToGrid w:val="0"/>
          <w:lang w:bidi="ar-SY"/>
        </w:rPr>
        <w:t>’</w:t>
      </w:r>
      <w:r w:rsidRPr="00784F6A">
        <w:rPr>
          <w:b/>
          <w:snapToGrid w:val="0"/>
          <w:lang w:bidi="ar-SY"/>
        </w:rPr>
        <w:t>environnement mondial (2026-2030) afin d</w:t>
      </w:r>
      <w:r w:rsidR="0059442D">
        <w:rPr>
          <w:b/>
          <w:snapToGrid w:val="0"/>
          <w:lang w:bidi="ar-SY"/>
        </w:rPr>
        <w:t>’</w:t>
      </w:r>
      <w:r w:rsidRPr="00784F6A">
        <w:rPr>
          <w:b/>
          <w:snapToGrid w:val="0"/>
          <w:lang w:bidi="ar-SY"/>
        </w:rPr>
        <w:t>appuyer la mise en œuvre du Protocole de Cartagena sur la prévention des risques biotechnologiques</w:t>
      </w:r>
    </w:p>
    <w:p w14:paraId="659E8E5C" w14:textId="772D32FB" w:rsidR="00B14B10" w:rsidRPr="00784F6A" w:rsidRDefault="005E4558" w:rsidP="00B14B10">
      <w:pPr>
        <w:keepLines/>
        <w:tabs>
          <w:tab w:val="left" w:pos="2835"/>
          <w:tab w:val="left" w:pos="3402"/>
        </w:tabs>
        <w:spacing w:after="120"/>
        <w:ind w:left="567" w:firstLine="567"/>
        <w:rPr>
          <w:snapToGrid w:val="0"/>
          <w:kern w:val="22"/>
        </w:rPr>
      </w:pPr>
      <w:r w:rsidRPr="00784F6A">
        <w:rPr>
          <w:iCs/>
          <w:snapToGrid w:val="0"/>
          <w:kern w:val="22"/>
        </w:rPr>
        <w:t xml:space="preserve">Les éléments du cadre quadriennal axé sur les résultats des priorités du programme en vue de la neuvième </w:t>
      </w:r>
      <w:r w:rsidR="00CF3FA3">
        <w:rPr>
          <w:iCs/>
          <w:snapToGrid w:val="0"/>
          <w:kern w:val="22"/>
        </w:rPr>
        <w:t>reconstitution des ressources de la Caisse</w:t>
      </w:r>
      <w:r w:rsidR="00E357CE" w:rsidRPr="00784F6A">
        <w:rPr>
          <w:iCs/>
          <w:snapToGrid w:val="0"/>
          <w:kern w:val="22"/>
        </w:rPr>
        <w:t xml:space="preserve"> du Fonds</w:t>
      </w:r>
      <w:r w:rsidRPr="00784F6A">
        <w:rPr>
          <w:iCs/>
          <w:snapToGrid w:val="0"/>
          <w:kern w:val="22"/>
        </w:rPr>
        <w:t xml:space="preserve"> pour l</w:t>
      </w:r>
      <w:r w:rsidR="0059442D">
        <w:rPr>
          <w:iCs/>
          <w:snapToGrid w:val="0"/>
          <w:kern w:val="22"/>
        </w:rPr>
        <w:t>’</w:t>
      </w:r>
      <w:r w:rsidRPr="00784F6A">
        <w:rPr>
          <w:iCs/>
          <w:snapToGrid w:val="0"/>
          <w:kern w:val="22"/>
        </w:rPr>
        <w:t>environnement mondial (2026-2030) à l</w:t>
      </w:r>
      <w:r w:rsidR="0059442D">
        <w:rPr>
          <w:iCs/>
          <w:snapToGrid w:val="0"/>
          <w:kern w:val="22"/>
        </w:rPr>
        <w:t>’</w:t>
      </w:r>
      <w:r w:rsidRPr="00784F6A">
        <w:rPr>
          <w:iCs/>
          <w:snapToGrid w:val="0"/>
          <w:kern w:val="22"/>
        </w:rPr>
        <w:t>appui de la mise en œuvre du Protocole de Cartagena sur la prévention des risques biotechnologiques</w:t>
      </w:r>
      <w:r w:rsidRPr="00784F6A">
        <w:rPr>
          <w:iCs/>
          <w:snapToGrid w:val="0"/>
          <w:kern w:val="22"/>
          <w:vertAlign w:val="superscript"/>
        </w:rPr>
        <w:footnoteReference w:id="32"/>
      </w:r>
      <w:r w:rsidRPr="00784F6A">
        <w:rPr>
          <w:iCs/>
          <w:snapToGrid w:val="0"/>
          <w:kern w:val="22"/>
        </w:rPr>
        <w:t>, tels qu</w:t>
      </w:r>
      <w:r w:rsidR="0059442D">
        <w:rPr>
          <w:iCs/>
          <w:snapToGrid w:val="0"/>
          <w:kern w:val="22"/>
        </w:rPr>
        <w:t>’</w:t>
      </w:r>
      <w:r w:rsidRPr="00784F6A">
        <w:rPr>
          <w:iCs/>
          <w:snapToGrid w:val="0"/>
          <w:kern w:val="22"/>
        </w:rPr>
        <w:t>adoptés par la Conférence des Parties siégeant en tant que réunion des Parties au Protocole à sa onzième réunion, visent notamment à</w:t>
      </w:r>
      <w:r w:rsidR="00436638" w:rsidRPr="00784F6A">
        <w:rPr>
          <w:iCs/>
          <w:snapToGrid w:val="0"/>
          <w:kern w:val="22"/>
        </w:rPr>
        <w:t> </w:t>
      </w:r>
      <w:r w:rsidR="00B14B10" w:rsidRPr="00784F6A">
        <w:rPr>
          <w:snapToGrid w:val="0"/>
          <w:kern w:val="22"/>
        </w:rPr>
        <w:t xml:space="preserve">: </w:t>
      </w:r>
      <w:bookmarkStart w:id="10" w:name="_Hlk164480057"/>
    </w:p>
    <w:bookmarkEnd w:id="10"/>
    <w:p w14:paraId="0EC8458D" w14:textId="77777777" w:rsidR="00B14B10" w:rsidRPr="00784F6A" w:rsidRDefault="00B14B10" w:rsidP="00B14B10">
      <w:pPr>
        <w:tabs>
          <w:tab w:val="left" w:pos="2835"/>
          <w:tab w:val="left" w:pos="3402"/>
        </w:tabs>
        <w:spacing w:after="120"/>
        <w:ind w:left="567" w:firstLine="567"/>
        <w:rPr>
          <w:iCs/>
          <w:snapToGrid w:val="0"/>
          <w:kern w:val="22"/>
        </w:rPr>
      </w:pPr>
      <w:r w:rsidRPr="00784F6A">
        <w:rPr>
          <w:snapToGrid w:val="0"/>
        </w:rPr>
        <w:t>a)</w:t>
      </w:r>
      <w:r w:rsidRPr="00784F6A">
        <w:rPr>
          <w:snapToGrid w:val="0"/>
        </w:rPr>
        <w:tab/>
      </w:r>
      <w:r w:rsidR="005E4558" w:rsidRPr="00784F6A">
        <w:rPr>
          <w:snapToGrid w:val="0"/>
        </w:rPr>
        <w:t>Renforcer son financement affecté au Protocole de Cartagena afin d</w:t>
      </w:r>
      <w:r w:rsidR="0059442D">
        <w:rPr>
          <w:snapToGrid w:val="0"/>
        </w:rPr>
        <w:t>’</w:t>
      </w:r>
      <w:r w:rsidR="005E4558" w:rsidRPr="00784F6A">
        <w:rPr>
          <w:snapToGrid w:val="0"/>
        </w:rPr>
        <w:t>appuyer les Parties admissibles dans la mise en œuvre du Protocole, y compris son plan de mise en œuvre</w:t>
      </w:r>
      <w:r w:rsidR="005E4558" w:rsidRPr="00784F6A">
        <w:rPr>
          <w:snapToGrid w:val="0"/>
          <w:vertAlign w:val="superscript"/>
        </w:rPr>
        <w:footnoteReference w:id="33"/>
      </w:r>
      <w:r w:rsidR="005E4558" w:rsidRPr="00784F6A">
        <w:rPr>
          <w:snapToGrid w:val="0"/>
        </w:rPr>
        <w:t xml:space="preserve"> et son plan d</w:t>
      </w:r>
      <w:r w:rsidR="0059442D">
        <w:rPr>
          <w:snapToGrid w:val="0"/>
        </w:rPr>
        <w:t>’</w:t>
      </w:r>
      <w:r w:rsidR="005E4558" w:rsidRPr="00784F6A">
        <w:rPr>
          <w:snapToGrid w:val="0"/>
        </w:rPr>
        <w:t>action pour le renforcement des capacités</w:t>
      </w:r>
      <w:r w:rsidRPr="00784F6A">
        <w:rPr>
          <w:snapToGrid w:val="0"/>
          <w:vertAlign w:val="superscript"/>
        </w:rPr>
        <w:footnoteReference w:id="34"/>
      </w:r>
      <w:r w:rsidR="00202E35" w:rsidRPr="00784F6A">
        <w:rPr>
          <w:snapToGrid w:val="0"/>
        </w:rPr>
        <w:t> </w:t>
      </w:r>
      <w:r w:rsidR="005E4558" w:rsidRPr="00784F6A">
        <w:rPr>
          <w:snapToGrid w:val="0"/>
        </w:rPr>
        <w:t>;</w:t>
      </w:r>
      <w:r w:rsidRPr="00784F6A">
        <w:rPr>
          <w:snapToGrid w:val="0"/>
        </w:rPr>
        <w:t xml:space="preserve"> </w:t>
      </w:r>
    </w:p>
    <w:p w14:paraId="3420FBCE" w14:textId="77777777" w:rsidR="00B14B10" w:rsidRPr="00784F6A" w:rsidRDefault="00B14B10" w:rsidP="00B14B10">
      <w:pPr>
        <w:tabs>
          <w:tab w:val="left" w:pos="2835"/>
          <w:tab w:val="left" w:pos="3402"/>
        </w:tabs>
        <w:spacing w:after="120"/>
        <w:ind w:left="567" w:firstLine="567"/>
        <w:rPr>
          <w:snapToGrid w:val="0"/>
        </w:rPr>
      </w:pPr>
      <w:r w:rsidRPr="00784F6A">
        <w:rPr>
          <w:snapToGrid w:val="0"/>
        </w:rPr>
        <w:t>b)</w:t>
      </w:r>
      <w:r w:rsidRPr="00784F6A">
        <w:rPr>
          <w:snapToGrid w:val="0"/>
        </w:rPr>
        <w:tab/>
      </w:r>
      <w:r w:rsidR="005E4558" w:rsidRPr="00784F6A">
        <w:rPr>
          <w:snapToGrid w:val="0"/>
        </w:rPr>
        <w:t>Continuer à fournir un appui aux Parties admissibles pour la réalisation d</w:t>
      </w:r>
      <w:r w:rsidR="0059442D">
        <w:rPr>
          <w:snapToGrid w:val="0"/>
        </w:rPr>
        <w:t>’</w:t>
      </w:r>
      <w:r w:rsidR="005E4558" w:rsidRPr="00784F6A">
        <w:rPr>
          <w:snapToGrid w:val="0"/>
        </w:rPr>
        <w:t>activités dans les domaines suivants, sur la base des besoins qu</w:t>
      </w:r>
      <w:r w:rsidR="0059442D">
        <w:rPr>
          <w:snapToGrid w:val="0"/>
        </w:rPr>
        <w:t>’</w:t>
      </w:r>
      <w:r w:rsidR="005E4558" w:rsidRPr="00784F6A">
        <w:rPr>
          <w:snapToGrid w:val="0"/>
        </w:rPr>
        <w:t>elles ont exprimés</w:t>
      </w:r>
      <w:r w:rsidR="00436638" w:rsidRPr="00784F6A">
        <w:rPr>
          <w:snapToGrid w:val="0"/>
        </w:rPr>
        <w:t> </w:t>
      </w:r>
      <w:r w:rsidRPr="00784F6A">
        <w:rPr>
          <w:snapToGrid w:val="0"/>
        </w:rPr>
        <w:t xml:space="preserve">: </w:t>
      </w:r>
    </w:p>
    <w:p w14:paraId="7068CF8C" w14:textId="77777777" w:rsidR="005E4558" w:rsidRPr="00784F6A" w:rsidRDefault="00B14B10" w:rsidP="005E4558">
      <w:pPr>
        <w:tabs>
          <w:tab w:val="left" w:pos="2835"/>
          <w:tab w:val="left" w:pos="3402"/>
        </w:tabs>
        <w:spacing w:after="120"/>
        <w:ind w:left="2268" w:hanging="567"/>
        <w:rPr>
          <w:snapToGrid w:val="0"/>
        </w:rPr>
      </w:pPr>
      <w:r w:rsidRPr="00784F6A">
        <w:rPr>
          <w:snapToGrid w:val="0"/>
        </w:rPr>
        <w:t>i)</w:t>
      </w:r>
      <w:r w:rsidRPr="00784F6A">
        <w:rPr>
          <w:snapToGrid w:val="0"/>
        </w:rPr>
        <w:tab/>
      </w:r>
      <w:r w:rsidR="005E4558" w:rsidRPr="00784F6A">
        <w:rPr>
          <w:snapToGrid w:val="0"/>
        </w:rPr>
        <w:t>Élaboration et mise en œuvre de mesures juridiques, administratives et autres pour mettre en œuvre le Protocole de Cartagena</w:t>
      </w:r>
      <w:r w:rsidR="00202E35" w:rsidRPr="00784F6A">
        <w:rPr>
          <w:snapToGrid w:val="0"/>
        </w:rPr>
        <w:t> </w:t>
      </w:r>
      <w:r w:rsidR="005E4558" w:rsidRPr="00784F6A">
        <w:rPr>
          <w:snapToGrid w:val="0"/>
        </w:rPr>
        <w:t xml:space="preserve">; </w:t>
      </w:r>
    </w:p>
    <w:p w14:paraId="7FEF1329" w14:textId="77777777" w:rsidR="005E4558" w:rsidRPr="00784F6A" w:rsidRDefault="005E4558" w:rsidP="005E4558">
      <w:pPr>
        <w:tabs>
          <w:tab w:val="left" w:pos="2835"/>
          <w:tab w:val="left" w:pos="3402"/>
        </w:tabs>
        <w:spacing w:after="120"/>
        <w:ind w:left="2268" w:hanging="567"/>
        <w:rPr>
          <w:snapToGrid w:val="0"/>
        </w:rPr>
      </w:pPr>
      <w:r w:rsidRPr="00784F6A">
        <w:rPr>
          <w:snapToGrid w:val="0"/>
        </w:rPr>
        <w:t xml:space="preserve">ii) </w:t>
      </w:r>
      <w:r w:rsidR="005F3E9E" w:rsidRPr="00784F6A">
        <w:rPr>
          <w:snapToGrid w:val="0"/>
        </w:rPr>
        <w:tab/>
      </w:r>
      <w:r w:rsidRPr="00784F6A">
        <w:rPr>
          <w:snapToGrid w:val="0"/>
        </w:rPr>
        <w:t>Évaluation et gestion des risques</w:t>
      </w:r>
      <w:r w:rsidR="00202E35" w:rsidRPr="00784F6A">
        <w:rPr>
          <w:snapToGrid w:val="0"/>
        </w:rPr>
        <w:t> </w:t>
      </w:r>
      <w:r w:rsidRPr="00784F6A">
        <w:rPr>
          <w:snapToGrid w:val="0"/>
        </w:rPr>
        <w:t xml:space="preserve">; </w:t>
      </w:r>
    </w:p>
    <w:p w14:paraId="11BEFBEA" w14:textId="338D19B3" w:rsidR="005E4558" w:rsidRPr="00784F6A" w:rsidRDefault="005E4558" w:rsidP="005E4558">
      <w:pPr>
        <w:tabs>
          <w:tab w:val="left" w:pos="2835"/>
          <w:tab w:val="left" w:pos="3402"/>
        </w:tabs>
        <w:spacing w:after="120"/>
        <w:ind w:left="2268" w:hanging="567"/>
        <w:rPr>
          <w:snapToGrid w:val="0"/>
        </w:rPr>
      </w:pPr>
      <w:r w:rsidRPr="00784F6A">
        <w:rPr>
          <w:snapToGrid w:val="0"/>
        </w:rPr>
        <w:t>iii)</w:t>
      </w:r>
      <w:r w:rsidR="005F3E9E" w:rsidRPr="00784F6A">
        <w:rPr>
          <w:snapToGrid w:val="0"/>
        </w:rPr>
        <w:t xml:space="preserve"> </w:t>
      </w:r>
      <w:r w:rsidR="005F3E9E" w:rsidRPr="00784F6A">
        <w:rPr>
          <w:snapToGrid w:val="0"/>
        </w:rPr>
        <w:tab/>
      </w:r>
      <w:r w:rsidRPr="00784F6A">
        <w:rPr>
          <w:snapToGrid w:val="0"/>
        </w:rPr>
        <w:t>Détection et identification des organismes vivants modifiés</w:t>
      </w:r>
      <w:r w:rsidR="00202E35" w:rsidRPr="00784F6A">
        <w:rPr>
          <w:snapToGrid w:val="0"/>
        </w:rPr>
        <w:t> </w:t>
      </w:r>
      <w:r w:rsidRPr="00784F6A">
        <w:rPr>
          <w:snapToGrid w:val="0"/>
        </w:rPr>
        <w:t xml:space="preserve">; </w:t>
      </w:r>
    </w:p>
    <w:p w14:paraId="66D308C3" w14:textId="77777777" w:rsidR="005E4558" w:rsidRPr="00784F6A" w:rsidRDefault="005E4558" w:rsidP="005E4558">
      <w:pPr>
        <w:tabs>
          <w:tab w:val="left" w:pos="2835"/>
          <w:tab w:val="left" w:pos="3402"/>
        </w:tabs>
        <w:spacing w:after="120"/>
        <w:ind w:left="2268" w:hanging="567"/>
        <w:rPr>
          <w:snapToGrid w:val="0"/>
        </w:rPr>
      </w:pPr>
      <w:r w:rsidRPr="00784F6A">
        <w:rPr>
          <w:snapToGrid w:val="0"/>
        </w:rPr>
        <w:t xml:space="preserve">iv) </w:t>
      </w:r>
      <w:r w:rsidR="005F3E9E" w:rsidRPr="00784F6A">
        <w:rPr>
          <w:snapToGrid w:val="0"/>
        </w:rPr>
        <w:tab/>
      </w:r>
      <w:r w:rsidRPr="00784F6A">
        <w:rPr>
          <w:snapToGrid w:val="0"/>
        </w:rPr>
        <w:t xml:space="preserve">Sensibilisation, éducation et participation du public </w:t>
      </w:r>
    </w:p>
    <w:p w14:paraId="490408FD" w14:textId="1F2D7218" w:rsidR="005E4558" w:rsidRPr="00784F6A" w:rsidRDefault="005E4558" w:rsidP="005E4558">
      <w:pPr>
        <w:tabs>
          <w:tab w:val="left" w:pos="2835"/>
          <w:tab w:val="left" w:pos="3402"/>
        </w:tabs>
        <w:spacing w:after="120"/>
        <w:ind w:left="2268" w:hanging="567"/>
        <w:rPr>
          <w:snapToGrid w:val="0"/>
        </w:rPr>
      </w:pPr>
      <w:r w:rsidRPr="00784F6A">
        <w:rPr>
          <w:snapToGrid w:val="0"/>
        </w:rPr>
        <w:t xml:space="preserve">v) </w:t>
      </w:r>
      <w:r w:rsidR="005F3E9E" w:rsidRPr="00784F6A">
        <w:rPr>
          <w:snapToGrid w:val="0"/>
        </w:rPr>
        <w:tab/>
      </w:r>
      <w:r w:rsidRPr="00784F6A">
        <w:rPr>
          <w:snapToGrid w:val="0"/>
        </w:rPr>
        <w:t>Considérations socioéconomiques</w:t>
      </w:r>
      <w:r w:rsidR="00202E35" w:rsidRPr="00784F6A">
        <w:rPr>
          <w:snapToGrid w:val="0"/>
        </w:rPr>
        <w:t> </w:t>
      </w:r>
      <w:r w:rsidRPr="00784F6A">
        <w:rPr>
          <w:snapToGrid w:val="0"/>
        </w:rPr>
        <w:t>;</w:t>
      </w:r>
    </w:p>
    <w:p w14:paraId="3AD9BE2F" w14:textId="77777777" w:rsidR="005E4558" w:rsidRPr="00784F6A" w:rsidRDefault="005E4558" w:rsidP="005E4558">
      <w:pPr>
        <w:tabs>
          <w:tab w:val="left" w:pos="2835"/>
          <w:tab w:val="left" w:pos="3402"/>
        </w:tabs>
        <w:spacing w:after="120"/>
        <w:ind w:left="2268" w:hanging="567"/>
        <w:rPr>
          <w:snapToGrid w:val="0"/>
        </w:rPr>
      </w:pPr>
      <w:r w:rsidRPr="00784F6A">
        <w:rPr>
          <w:snapToGrid w:val="0"/>
        </w:rPr>
        <w:t xml:space="preserve">vi) </w:t>
      </w:r>
      <w:r w:rsidR="005F3E9E" w:rsidRPr="00784F6A">
        <w:rPr>
          <w:snapToGrid w:val="0"/>
        </w:rPr>
        <w:tab/>
      </w:r>
      <w:r w:rsidRPr="00784F6A">
        <w:rPr>
          <w:snapToGrid w:val="0"/>
        </w:rPr>
        <w:t>Responsabilité et réparation</w:t>
      </w:r>
      <w:r w:rsidR="00202E35" w:rsidRPr="00784F6A">
        <w:rPr>
          <w:snapToGrid w:val="0"/>
        </w:rPr>
        <w:t> </w:t>
      </w:r>
      <w:r w:rsidRPr="00784F6A">
        <w:rPr>
          <w:snapToGrid w:val="0"/>
        </w:rPr>
        <w:t xml:space="preserve">; </w:t>
      </w:r>
    </w:p>
    <w:p w14:paraId="4E61D69B" w14:textId="77777777" w:rsidR="005E4558" w:rsidRPr="00784F6A" w:rsidRDefault="005E4558" w:rsidP="005E4558">
      <w:pPr>
        <w:tabs>
          <w:tab w:val="left" w:pos="2835"/>
          <w:tab w:val="left" w:pos="3402"/>
        </w:tabs>
        <w:spacing w:after="120"/>
        <w:ind w:left="2268" w:hanging="567"/>
        <w:rPr>
          <w:snapToGrid w:val="0"/>
        </w:rPr>
      </w:pPr>
      <w:r w:rsidRPr="00784F6A">
        <w:rPr>
          <w:snapToGrid w:val="0"/>
        </w:rPr>
        <w:t xml:space="preserve">vii) </w:t>
      </w:r>
      <w:r w:rsidR="005F3E9E" w:rsidRPr="00784F6A">
        <w:rPr>
          <w:snapToGrid w:val="0"/>
        </w:rPr>
        <w:tab/>
      </w:r>
      <w:r w:rsidRPr="00784F6A">
        <w:rPr>
          <w:snapToGrid w:val="0"/>
        </w:rPr>
        <w:t>Rapports nationaux, partage de l</w:t>
      </w:r>
      <w:r w:rsidR="0059442D">
        <w:rPr>
          <w:snapToGrid w:val="0"/>
        </w:rPr>
        <w:t>’</w:t>
      </w:r>
      <w:r w:rsidRPr="00784F6A">
        <w:rPr>
          <w:snapToGrid w:val="0"/>
        </w:rPr>
        <w:t>information et centre d</w:t>
      </w:r>
      <w:r w:rsidR="0059442D">
        <w:rPr>
          <w:snapToGrid w:val="0"/>
        </w:rPr>
        <w:t>’</w:t>
      </w:r>
      <w:r w:rsidRPr="00784F6A">
        <w:rPr>
          <w:snapToGrid w:val="0"/>
        </w:rPr>
        <w:t>échange sur la prévention des risques biotechnologiques</w:t>
      </w:r>
      <w:r w:rsidR="00202E35" w:rsidRPr="00784F6A">
        <w:rPr>
          <w:snapToGrid w:val="0"/>
        </w:rPr>
        <w:t> </w:t>
      </w:r>
      <w:r w:rsidRPr="00784F6A">
        <w:rPr>
          <w:snapToGrid w:val="0"/>
        </w:rPr>
        <w:t xml:space="preserve">; </w:t>
      </w:r>
    </w:p>
    <w:p w14:paraId="1A72E7BB" w14:textId="77777777" w:rsidR="005E4558" w:rsidRPr="00784F6A" w:rsidRDefault="005E4558" w:rsidP="005E4558">
      <w:pPr>
        <w:tabs>
          <w:tab w:val="left" w:pos="2835"/>
          <w:tab w:val="left" w:pos="3402"/>
        </w:tabs>
        <w:spacing w:after="120"/>
        <w:ind w:left="2268" w:hanging="567"/>
        <w:rPr>
          <w:snapToGrid w:val="0"/>
        </w:rPr>
      </w:pPr>
      <w:r w:rsidRPr="00784F6A">
        <w:rPr>
          <w:snapToGrid w:val="0"/>
        </w:rPr>
        <w:t xml:space="preserve">viii) </w:t>
      </w:r>
      <w:r w:rsidR="005F3E9E" w:rsidRPr="00784F6A">
        <w:rPr>
          <w:snapToGrid w:val="0"/>
        </w:rPr>
        <w:tab/>
      </w:r>
      <w:r w:rsidRPr="00784F6A">
        <w:rPr>
          <w:snapToGrid w:val="0"/>
        </w:rPr>
        <w:t>Partage des connaissances et transfert de technologies</w:t>
      </w:r>
      <w:r w:rsidR="00202E35" w:rsidRPr="00784F6A">
        <w:rPr>
          <w:snapToGrid w:val="0"/>
        </w:rPr>
        <w:t> </w:t>
      </w:r>
      <w:r w:rsidRPr="00784F6A">
        <w:rPr>
          <w:snapToGrid w:val="0"/>
        </w:rPr>
        <w:t>;</w:t>
      </w:r>
    </w:p>
    <w:p w14:paraId="4530A83B" w14:textId="77777777" w:rsidR="00B14B10" w:rsidRPr="00784F6A" w:rsidRDefault="005E4558" w:rsidP="005E4558">
      <w:pPr>
        <w:tabs>
          <w:tab w:val="left" w:pos="2835"/>
          <w:tab w:val="left" w:pos="3402"/>
        </w:tabs>
        <w:spacing w:after="120"/>
        <w:ind w:left="2268" w:hanging="567"/>
        <w:rPr>
          <w:snapToGrid w:val="0"/>
        </w:rPr>
      </w:pPr>
      <w:r w:rsidRPr="00784F6A">
        <w:rPr>
          <w:snapToGrid w:val="0"/>
        </w:rPr>
        <w:t xml:space="preserve">ix) </w:t>
      </w:r>
      <w:r w:rsidR="005F3E9E" w:rsidRPr="00784F6A">
        <w:rPr>
          <w:snapToGrid w:val="0"/>
        </w:rPr>
        <w:tab/>
      </w:r>
      <w:r w:rsidRPr="00784F6A">
        <w:rPr>
          <w:snapToGrid w:val="0"/>
        </w:rPr>
        <w:t>Mise en œuvre de plans d</w:t>
      </w:r>
      <w:r w:rsidR="0059442D">
        <w:rPr>
          <w:snapToGrid w:val="0"/>
        </w:rPr>
        <w:t>’</w:t>
      </w:r>
      <w:r w:rsidRPr="00784F6A">
        <w:rPr>
          <w:snapToGrid w:val="0"/>
        </w:rPr>
        <w:t>action pour respecter le Protocole de Cartagena.</w:t>
      </w:r>
    </w:p>
    <w:p w14:paraId="76B2BB38" w14:textId="3DFF350A" w:rsidR="00B14B10" w:rsidRPr="00784F6A" w:rsidRDefault="00FE3D99" w:rsidP="00B14B10">
      <w:pPr>
        <w:keepNext/>
        <w:keepLines/>
        <w:tabs>
          <w:tab w:val="left" w:pos="2835"/>
          <w:tab w:val="left" w:pos="3402"/>
        </w:tabs>
        <w:spacing w:before="240" w:after="120"/>
        <w:ind w:left="567"/>
        <w:jc w:val="left"/>
        <w:rPr>
          <w:iCs/>
          <w:snapToGrid w:val="0"/>
          <w:lang w:bidi="ar-SY"/>
        </w:rPr>
      </w:pPr>
      <w:r w:rsidRPr="00784F6A">
        <w:rPr>
          <w:b/>
          <w:bCs/>
          <w:iCs/>
          <w:snapToGrid w:val="0"/>
          <w:kern w:val="22"/>
          <w:lang w:bidi="ar-SY"/>
        </w:rPr>
        <w:t>Pièce jointe</w:t>
      </w:r>
      <w:r w:rsidR="00436638" w:rsidRPr="00784F6A">
        <w:rPr>
          <w:b/>
          <w:bCs/>
          <w:iCs/>
          <w:lang w:bidi="ar-SY"/>
        </w:rPr>
        <w:t> </w:t>
      </w:r>
      <w:r w:rsidR="00B14B10" w:rsidRPr="00784F6A">
        <w:rPr>
          <w:b/>
          <w:bCs/>
          <w:iCs/>
          <w:lang w:bidi="ar-SY"/>
        </w:rPr>
        <w:t>II</w:t>
      </w:r>
      <w:r w:rsidR="00B14B10" w:rsidRPr="00784F6A">
        <w:rPr>
          <w:bCs/>
          <w:iCs/>
          <w:lang w:bidi="ar-SY"/>
        </w:rPr>
        <w:t xml:space="preserve"> </w:t>
      </w:r>
      <w:r w:rsidR="00B14B10" w:rsidRPr="00784F6A">
        <w:rPr>
          <w:bCs/>
          <w:iCs/>
          <w:lang w:bidi="ar-SY"/>
        </w:rPr>
        <w:br/>
      </w:r>
      <w:r w:rsidRPr="00784F6A">
        <w:rPr>
          <w:b/>
          <w:snapToGrid w:val="0"/>
          <w:lang w:bidi="ar-SY"/>
        </w:rPr>
        <w:t xml:space="preserve">Éléments supplémentaires du cadre quadriennal axé sur les résultats des priorités du programme sur la biodiversité de la Convention sur la diversité biologique pour la neuvième </w:t>
      </w:r>
      <w:r w:rsidR="00CF3FA3">
        <w:rPr>
          <w:b/>
          <w:snapToGrid w:val="0"/>
          <w:lang w:bidi="ar-SY"/>
        </w:rPr>
        <w:t>reconstitution des ressources de la Caisse</w:t>
      </w:r>
      <w:r w:rsidRPr="00784F6A">
        <w:rPr>
          <w:b/>
          <w:snapToGrid w:val="0"/>
          <w:lang w:bidi="ar-SY"/>
        </w:rPr>
        <w:t xml:space="preserve"> du Fonds pour l</w:t>
      </w:r>
      <w:r w:rsidR="0059442D">
        <w:rPr>
          <w:b/>
          <w:snapToGrid w:val="0"/>
          <w:lang w:bidi="ar-SY"/>
        </w:rPr>
        <w:t>’</w:t>
      </w:r>
      <w:r w:rsidRPr="00784F6A">
        <w:rPr>
          <w:b/>
          <w:snapToGrid w:val="0"/>
          <w:lang w:bidi="ar-SY"/>
        </w:rPr>
        <w:t>environnement mondial (2026-2030) afin d</w:t>
      </w:r>
      <w:r w:rsidR="0059442D">
        <w:rPr>
          <w:b/>
          <w:snapToGrid w:val="0"/>
          <w:lang w:bidi="ar-SY"/>
        </w:rPr>
        <w:t>’</w:t>
      </w:r>
      <w:r w:rsidRPr="00784F6A">
        <w:rPr>
          <w:b/>
          <w:snapToGrid w:val="0"/>
          <w:lang w:bidi="ar-SY"/>
        </w:rPr>
        <w:t>appuyer la mise en œuvre du Protocole de Nagoya sur l</w:t>
      </w:r>
      <w:r w:rsidR="0059442D">
        <w:rPr>
          <w:b/>
          <w:snapToGrid w:val="0"/>
          <w:lang w:bidi="ar-SY"/>
        </w:rPr>
        <w:t>’</w:t>
      </w:r>
      <w:r w:rsidRPr="00784F6A">
        <w:rPr>
          <w:b/>
          <w:snapToGrid w:val="0"/>
          <w:lang w:bidi="ar-SY"/>
        </w:rPr>
        <w:t>accès aux ressources génétiques et le partage juste et équitable des avantages découlant de leur utilisation</w:t>
      </w:r>
    </w:p>
    <w:p w14:paraId="41C540BD" w14:textId="33A53EC7" w:rsidR="00B14B10" w:rsidRPr="00784F6A" w:rsidRDefault="00FE3D99" w:rsidP="00B14B10">
      <w:pPr>
        <w:tabs>
          <w:tab w:val="left" w:pos="2835"/>
          <w:tab w:val="left" w:pos="3402"/>
        </w:tabs>
        <w:spacing w:after="120"/>
        <w:ind w:left="567" w:firstLine="567"/>
        <w:rPr>
          <w:snapToGrid w:val="0"/>
          <w:kern w:val="22"/>
        </w:rPr>
      </w:pPr>
      <w:r w:rsidRPr="00784F6A">
        <w:t xml:space="preserve">Les éléments du cadre quadriennal axé sur les résultats des priorités du programme pour la neuvième </w:t>
      </w:r>
      <w:r w:rsidR="00CF3FA3">
        <w:t>reconstitution des ressources de la Caisse</w:t>
      </w:r>
      <w:r w:rsidRPr="00784F6A">
        <w:t xml:space="preserve"> du Fonds pour l</w:t>
      </w:r>
      <w:r w:rsidR="0059442D">
        <w:t>’</w:t>
      </w:r>
      <w:r w:rsidRPr="00784F6A">
        <w:t>environnement mondial (2026-2030) visant à appuyer la mise en œuvre du Protocole de Nagoya sur l</w:t>
      </w:r>
      <w:r w:rsidR="0059442D">
        <w:t>’</w:t>
      </w:r>
      <w:r w:rsidRPr="00784F6A">
        <w:t>accès aux ressources génétiques et le partage juste et équitable des avantages découlant de leur utilisation</w:t>
      </w:r>
      <w:r w:rsidRPr="00784F6A">
        <w:rPr>
          <w:iCs/>
          <w:snapToGrid w:val="0"/>
          <w:kern w:val="22"/>
          <w:vertAlign w:val="superscript"/>
        </w:rPr>
        <w:footnoteReference w:id="35"/>
      </w:r>
      <w:r w:rsidRPr="00784F6A">
        <w:t>, tel qu</w:t>
      </w:r>
      <w:r w:rsidR="0059442D">
        <w:t>’</w:t>
      </w:r>
      <w:r w:rsidRPr="00784F6A">
        <w:t>il a été adopté par la Conférence des Parties en tant que réunion des Parties au Protocole lors de sa cinquième réunion, visent notamment à</w:t>
      </w:r>
      <w:r w:rsidR="00436638" w:rsidRPr="00784F6A">
        <w:t> </w:t>
      </w:r>
      <w:r w:rsidR="00B14B10" w:rsidRPr="00784F6A">
        <w:rPr>
          <w:snapToGrid w:val="0"/>
          <w:kern w:val="22"/>
        </w:rPr>
        <w:t xml:space="preserve">: </w:t>
      </w:r>
    </w:p>
    <w:p w14:paraId="475173FE" w14:textId="00E9CCF1" w:rsidR="00B14B10" w:rsidRPr="00784F6A" w:rsidRDefault="00B14B10" w:rsidP="00B14B10">
      <w:pPr>
        <w:tabs>
          <w:tab w:val="left" w:pos="2835"/>
          <w:tab w:val="left" w:pos="3402"/>
        </w:tabs>
        <w:spacing w:after="120"/>
        <w:ind w:left="567" w:firstLine="567"/>
        <w:rPr>
          <w:snapToGrid w:val="0"/>
          <w:kern w:val="22"/>
        </w:rPr>
      </w:pPr>
      <w:r w:rsidRPr="00784F6A">
        <w:t>a)</w:t>
      </w:r>
      <w:r w:rsidRPr="00784F6A">
        <w:tab/>
      </w:r>
      <w:r w:rsidR="00FE3D99" w:rsidRPr="00784F6A">
        <w:t xml:space="preserve">Appuyer les Parties admissibles et fournir des ressources financières adéquates pour la mise en œuvre du </w:t>
      </w:r>
      <w:r w:rsidR="00F35B4E">
        <w:t>P</w:t>
      </w:r>
      <w:r w:rsidR="00FE3D99" w:rsidRPr="00784F6A">
        <w:t>lan d</w:t>
      </w:r>
      <w:r w:rsidR="0059442D">
        <w:t>’</w:t>
      </w:r>
      <w:r w:rsidR="00FE3D99" w:rsidRPr="00784F6A">
        <w:t>action pour la création et le renforcement des capacités du Protocole de Nagoya</w:t>
      </w:r>
      <w:r w:rsidRPr="00784F6A">
        <w:rPr>
          <w:vertAlign w:val="superscript"/>
        </w:rPr>
        <w:footnoteReference w:id="36"/>
      </w:r>
      <w:r w:rsidR="00202E35" w:rsidRPr="00784F6A">
        <w:t> </w:t>
      </w:r>
      <w:r w:rsidR="00FE3D99" w:rsidRPr="00784F6A">
        <w:t>;</w:t>
      </w:r>
      <w:r w:rsidRPr="00784F6A">
        <w:t xml:space="preserve"> </w:t>
      </w:r>
    </w:p>
    <w:p w14:paraId="1ADBAF3E" w14:textId="77777777" w:rsidR="00B14B10" w:rsidRPr="00784F6A" w:rsidRDefault="00B14B10" w:rsidP="00B14B10">
      <w:pPr>
        <w:tabs>
          <w:tab w:val="left" w:pos="2835"/>
          <w:tab w:val="left" w:pos="3402"/>
        </w:tabs>
        <w:spacing w:after="120"/>
        <w:ind w:left="567" w:firstLine="567"/>
      </w:pPr>
      <w:r w:rsidRPr="00784F6A">
        <w:lastRenderedPageBreak/>
        <w:t>b)</w:t>
      </w:r>
      <w:r w:rsidRPr="00784F6A">
        <w:tab/>
      </w:r>
      <w:r w:rsidR="00FE3D99" w:rsidRPr="00784F6A">
        <w:t>Continuer à fournir un appui aux Parties admissibles pour entreprendre des activités dans les domaines suivants</w:t>
      </w:r>
      <w:r w:rsidR="00436638" w:rsidRPr="00784F6A">
        <w:t> </w:t>
      </w:r>
      <w:r w:rsidRPr="00784F6A">
        <w:t>:</w:t>
      </w:r>
    </w:p>
    <w:p w14:paraId="78DE9A70" w14:textId="77777777" w:rsidR="00FE3D99" w:rsidRPr="00784F6A" w:rsidRDefault="00B14B10" w:rsidP="00FE3D99">
      <w:pPr>
        <w:tabs>
          <w:tab w:val="left" w:pos="2835"/>
          <w:tab w:val="left" w:pos="3402"/>
        </w:tabs>
        <w:spacing w:after="120"/>
        <w:ind w:left="2268" w:hanging="567"/>
      </w:pPr>
      <w:r w:rsidRPr="00784F6A">
        <w:t>i)</w:t>
      </w:r>
      <w:r w:rsidRPr="00784F6A">
        <w:tab/>
      </w:r>
      <w:r w:rsidR="00FE3D99" w:rsidRPr="00784F6A">
        <w:t>Priorités particulières concernant la poursuite des activités de création et de renforcement des capacités afin d</w:t>
      </w:r>
      <w:r w:rsidR="0059442D">
        <w:t>’</w:t>
      </w:r>
      <w:r w:rsidR="00FE3D99" w:rsidRPr="00784F6A">
        <w:t>appuyer la mise en œuvre du Protocole de Nagoya</w:t>
      </w:r>
      <w:r w:rsidR="00202E35" w:rsidRPr="00784F6A">
        <w:t> </w:t>
      </w:r>
      <w:r w:rsidR="00FE3D99" w:rsidRPr="00784F6A">
        <w:t>;</w:t>
      </w:r>
    </w:p>
    <w:p w14:paraId="0ED7AE61" w14:textId="77777777" w:rsidR="00FE3D99" w:rsidRPr="00784F6A" w:rsidRDefault="00FE3D99" w:rsidP="00FE3D99">
      <w:pPr>
        <w:tabs>
          <w:tab w:val="left" w:pos="2835"/>
          <w:tab w:val="left" w:pos="3402"/>
        </w:tabs>
        <w:spacing w:after="120"/>
        <w:ind w:left="2268" w:hanging="567"/>
      </w:pPr>
      <w:r w:rsidRPr="00784F6A">
        <w:t xml:space="preserve">ii) </w:t>
      </w:r>
      <w:r w:rsidRPr="00784F6A">
        <w:tab/>
        <w:t>Intégration de l</w:t>
      </w:r>
      <w:r w:rsidR="0059442D">
        <w:t>’</w:t>
      </w:r>
      <w:r w:rsidRPr="00784F6A">
        <w:t>accès et du partage des avantages découlant de l</w:t>
      </w:r>
      <w:r w:rsidR="0059442D">
        <w:t>’</w:t>
      </w:r>
      <w:r w:rsidRPr="00784F6A">
        <w:t>utilisation des ressources génétiques et des connaissances traditionnelles associées aux ressources génétiques dans les politiques et les activités liées à la biodiversité et au développement durable</w:t>
      </w:r>
      <w:r w:rsidR="00202E35" w:rsidRPr="00784F6A">
        <w:t> </w:t>
      </w:r>
      <w:r w:rsidRPr="00784F6A">
        <w:t>;</w:t>
      </w:r>
    </w:p>
    <w:p w14:paraId="0349841A" w14:textId="77777777" w:rsidR="00B14B10" w:rsidRPr="00784F6A" w:rsidRDefault="00FE3D99" w:rsidP="00FE3D99">
      <w:pPr>
        <w:tabs>
          <w:tab w:val="left" w:pos="2835"/>
          <w:tab w:val="left" w:pos="3402"/>
        </w:tabs>
        <w:spacing w:after="120"/>
        <w:ind w:left="2268" w:hanging="567"/>
      </w:pPr>
      <w:r w:rsidRPr="00784F6A">
        <w:t xml:space="preserve">iii) </w:t>
      </w:r>
      <w:r w:rsidRPr="00784F6A">
        <w:tab/>
        <w:t>Développement de capacités institutionnelles à long terme pour la gestion, le suivi et l</w:t>
      </w:r>
      <w:r w:rsidR="0059442D">
        <w:t>’</w:t>
      </w:r>
      <w:r w:rsidRPr="00784F6A">
        <w:t>évaluation des cadres nationaux d</w:t>
      </w:r>
      <w:r w:rsidR="0059442D">
        <w:t>’</w:t>
      </w:r>
      <w:r w:rsidRPr="00784F6A">
        <w:t>accès et de partage des avantages.</w:t>
      </w:r>
    </w:p>
    <w:bookmarkEnd w:id="9"/>
    <w:p w14:paraId="365D8A26" w14:textId="77777777" w:rsidR="00B14B10" w:rsidRPr="00784F6A" w:rsidRDefault="00B14B10" w:rsidP="00B14B10">
      <w:pPr>
        <w:keepNext/>
        <w:keepLines/>
        <w:tabs>
          <w:tab w:val="left" w:pos="2835"/>
          <w:tab w:val="left" w:pos="3402"/>
        </w:tabs>
        <w:spacing w:before="240" w:after="120"/>
        <w:ind w:left="567"/>
        <w:jc w:val="left"/>
        <w:rPr>
          <w:b/>
          <w:sz w:val="24"/>
          <w:szCs w:val="24"/>
          <w:lang w:bidi="ar-SY"/>
        </w:rPr>
      </w:pPr>
      <w:r w:rsidRPr="00784F6A">
        <w:rPr>
          <w:b/>
          <w:sz w:val="24"/>
          <w:szCs w:val="24"/>
          <w:lang w:bidi="ar-SY"/>
        </w:rPr>
        <w:t>Annex</w:t>
      </w:r>
      <w:r w:rsidR="00FE3D99" w:rsidRPr="00784F6A">
        <w:rPr>
          <w:b/>
          <w:sz w:val="24"/>
          <w:szCs w:val="24"/>
          <w:lang w:bidi="ar-SY"/>
        </w:rPr>
        <w:t>e</w:t>
      </w:r>
      <w:r w:rsidR="00436638" w:rsidRPr="00784F6A">
        <w:rPr>
          <w:b/>
          <w:sz w:val="24"/>
          <w:szCs w:val="24"/>
          <w:lang w:bidi="ar-SY"/>
        </w:rPr>
        <w:t> </w:t>
      </w:r>
      <w:r w:rsidRPr="00784F6A">
        <w:rPr>
          <w:b/>
          <w:sz w:val="24"/>
          <w:szCs w:val="24"/>
          <w:lang w:bidi="ar-SY"/>
        </w:rPr>
        <w:t xml:space="preserve">II </w:t>
      </w:r>
      <w:r w:rsidRPr="00784F6A">
        <w:rPr>
          <w:b/>
          <w:sz w:val="24"/>
          <w:szCs w:val="24"/>
          <w:lang w:bidi="ar-SY"/>
        </w:rPr>
        <w:br/>
      </w:r>
      <w:r w:rsidR="00FE3D99" w:rsidRPr="00784F6A">
        <w:rPr>
          <w:b/>
          <w:sz w:val="24"/>
          <w:szCs w:val="24"/>
          <w:lang w:bidi="ar-SY"/>
        </w:rPr>
        <w:t>Orientations supplémentaires à l</w:t>
      </w:r>
      <w:r w:rsidR="0059442D">
        <w:rPr>
          <w:b/>
          <w:sz w:val="24"/>
          <w:szCs w:val="24"/>
          <w:lang w:bidi="ar-SY"/>
        </w:rPr>
        <w:t>’</w:t>
      </w:r>
      <w:r w:rsidR="00FE3D99" w:rsidRPr="00784F6A">
        <w:rPr>
          <w:b/>
          <w:sz w:val="24"/>
          <w:szCs w:val="24"/>
          <w:lang w:bidi="ar-SY"/>
        </w:rPr>
        <w:t>intention du Fonds pour l</w:t>
      </w:r>
      <w:r w:rsidR="0059442D">
        <w:rPr>
          <w:b/>
          <w:sz w:val="24"/>
          <w:szCs w:val="24"/>
          <w:lang w:bidi="ar-SY"/>
        </w:rPr>
        <w:t>’</w:t>
      </w:r>
      <w:r w:rsidR="00FE3D99" w:rsidRPr="00784F6A">
        <w:rPr>
          <w:b/>
          <w:sz w:val="24"/>
          <w:szCs w:val="24"/>
          <w:lang w:bidi="ar-SY"/>
        </w:rPr>
        <w:t>environnement mondial</w:t>
      </w:r>
    </w:p>
    <w:p w14:paraId="3D89B032" w14:textId="77777777" w:rsidR="00B14B10" w:rsidRPr="00784F6A" w:rsidRDefault="00FE3D99" w:rsidP="00B14B10">
      <w:pPr>
        <w:tabs>
          <w:tab w:val="left" w:pos="2835"/>
          <w:tab w:val="left" w:pos="3402"/>
        </w:tabs>
        <w:spacing w:after="120"/>
        <w:ind w:left="567" w:firstLine="567"/>
      </w:pPr>
      <w:r w:rsidRPr="00784F6A">
        <w:t>La Conférence des Parties</w:t>
      </w:r>
      <w:r w:rsidR="00436638" w:rsidRPr="00784F6A">
        <w:t> </w:t>
      </w:r>
      <w:r w:rsidR="00B14B10" w:rsidRPr="00784F6A">
        <w:t>:</w:t>
      </w:r>
    </w:p>
    <w:p w14:paraId="66393738" w14:textId="77777777" w:rsidR="00B14B10" w:rsidRPr="00784F6A" w:rsidRDefault="00FE3D99" w:rsidP="00B14B10">
      <w:pPr>
        <w:keepNext/>
        <w:keepLines/>
        <w:tabs>
          <w:tab w:val="left" w:pos="2835"/>
          <w:tab w:val="left" w:pos="3402"/>
        </w:tabs>
        <w:spacing w:before="120" w:after="120"/>
        <w:ind w:left="567"/>
        <w:jc w:val="left"/>
        <w:rPr>
          <w:bCs/>
          <w:i/>
          <w:iCs/>
        </w:rPr>
      </w:pPr>
      <w:r w:rsidRPr="00784F6A">
        <w:rPr>
          <w:bCs/>
          <w:i/>
          <w:iCs/>
        </w:rPr>
        <w:t>Biodiversité et santé</w:t>
      </w:r>
    </w:p>
    <w:p w14:paraId="3C083D01" w14:textId="5988F41F" w:rsidR="00B14B10" w:rsidRPr="00784F6A" w:rsidRDefault="00B14B10" w:rsidP="00B14B10">
      <w:pPr>
        <w:tabs>
          <w:tab w:val="left" w:pos="2835"/>
          <w:tab w:val="left" w:pos="3402"/>
        </w:tabs>
        <w:spacing w:after="120"/>
        <w:ind w:left="567" w:firstLine="567"/>
      </w:pPr>
      <w:r w:rsidRPr="00784F6A">
        <w:rPr>
          <w:rFonts w:eastAsia="Calibri"/>
        </w:rPr>
        <w:t>1.</w:t>
      </w:r>
      <w:r w:rsidRPr="00784F6A">
        <w:rPr>
          <w:rFonts w:eastAsia="Calibri"/>
        </w:rPr>
        <w:tab/>
      </w:r>
      <w:r w:rsidR="00FE3D99" w:rsidRPr="00784F6A">
        <w:t>Demande au Fonds pour l</w:t>
      </w:r>
      <w:r w:rsidR="0059442D">
        <w:t>’</w:t>
      </w:r>
      <w:r w:rsidR="00FE3D99" w:rsidRPr="00784F6A">
        <w:t>environnement mondial de fournir une assistance financière, sur demande, à tou</w:t>
      </w:r>
      <w:r w:rsidR="00F35B4E">
        <w:t>te</w:t>
      </w:r>
      <w:r w:rsidR="00FE3D99" w:rsidRPr="00784F6A">
        <w:t xml:space="preserve">s les </w:t>
      </w:r>
      <w:r w:rsidR="00F35B4E">
        <w:t>Parties</w:t>
      </w:r>
      <w:r w:rsidR="00FE3D99" w:rsidRPr="00784F6A">
        <w:t xml:space="preserve"> </w:t>
      </w:r>
      <w:r w:rsidR="00656D3B" w:rsidRPr="00784F6A">
        <w:t>admissibles</w:t>
      </w:r>
      <w:r w:rsidR="00FE3D99" w:rsidRPr="00784F6A">
        <w:t xml:space="preserve">, y compris pour des activités admissibles de création et de renforcement des capacités, dans le cadre de projets infranationaux, nationaux et régionaux visant à mettre en œuvre le </w:t>
      </w:r>
      <w:r w:rsidR="000134C5" w:rsidRPr="00784F6A">
        <w:t>P</w:t>
      </w:r>
      <w:r w:rsidR="00FE3D99" w:rsidRPr="00784F6A">
        <w:t>lan d</w:t>
      </w:r>
      <w:r w:rsidR="0059442D">
        <w:t>’</w:t>
      </w:r>
      <w:r w:rsidR="00FE3D99" w:rsidRPr="00784F6A">
        <w:t>action mondial relatif à la biodiversité et à la santé</w:t>
      </w:r>
      <w:r w:rsidRPr="00784F6A">
        <w:rPr>
          <w:vertAlign w:val="superscript"/>
        </w:rPr>
        <w:footnoteReference w:id="37"/>
      </w:r>
      <w:r w:rsidR="00F35B4E">
        <w:t xml:space="preserve"> ;</w:t>
      </w:r>
    </w:p>
    <w:p w14:paraId="23192B27" w14:textId="28A09380" w:rsidR="00B14B10" w:rsidRPr="00784F6A" w:rsidRDefault="00FE3D99" w:rsidP="00B14B10">
      <w:pPr>
        <w:keepNext/>
        <w:keepLines/>
        <w:tabs>
          <w:tab w:val="left" w:pos="2835"/>
          <w:tab w:val="left" w:pos="3402"/>
        </w:tabs>
        <w:spacing w:before="120" w:after="120"/>
        <w:ind w:left="567"/>
        <w:jc w:val="left"/>
        <w:rPr>
          <w:bCs/>
          <w:i/>
          <w:iCs/>
        </w:rPr>
      </w:pPr>
      <w:r w:rsidRPr="00784F6A">
        <w:rPr>
          <w:bCs/>
          <w:i/>
          <w:iCs/>
        </w:rPr>
        <w:t>Stratégies et plans d</w:t>
      </w:r>
      <w:r w:rsidR="0059442D">
        <w:rPr>
          <w:bCs/>
          <w:i/>
          <w:iCs/>
        </w:rPr>
        <w:t>’</w:t>
      </w:r>
      <w:r w:rsidRPr="00784F6A">
        <w:rPr>
          <w:bCs/>
          <w:i/>
          <w:iCs/>
        </w:rPr>
        <w:t xml:space="preserve">action nationaux pour </w:t>
      </w:r>
      <w:r w:rsidR="00690BEB">
        <w:rPr>
          <w:bCs/>
          <w:i/>
          <w:iCs/>
        </w:rPr>
        <w:t xml:space="preserve">la </w:t>
      </w:r>
      <w:r w:rsidRPr="00784F6A">
        <w:rPr>
          <w:bCs/>
          <w:i/>
          <w:iCs/>
        </w:rPr>
        <w:t>biodiversité</w:t>
      </w:r>
    </w:p>
    <w:p w14:paraId="17993E34" w14:textId="71123783" w:rsidR="00B14B10" w:rsidRPr="00784F6A" w:rsidRDefault="00B14B10" w:rsidP="00B14B10">
      <w:pPr>
        <w:tabs>
          <w:tab w:val="left" w:pos="2835"/>
          <w:tab w:val="left" w:pos="3402"/>
        </w:tabs>
        <w:spacing w:after="120"/>
        <w:ind w:left="567" w:firstLine="567"/>
      </w:pPr>
      <w:r w:rsidRPr="00784F6A">
        <w:rPr>
          <w:rFonts w:eastAsia="Calibri"/>
        </w:rPr>
        <w:t>2.</w:t>
      </w:r>
      <w:r w:rsidRPr="00784F6A">
        <w:rPr>
          <w:rFonts w:eastAsia="Calibri"/>
        </w:rPr>
        <w:tab/>
      </w:r>
      <w:r w:rsidR="00FE3D99" w:rsidRPr="00784F6A">
        <w:t>Demande au Fonds pour l</w:t>
      </w:r>
      <w:r w:rsidR="0059442D">
        <w:t>’</w:t>
      </w:r>
      <w:r w:rsidR="00FE3D99" w:rsidRPr="00784F6A">
        <w:t>environnement mondial et à ses agences d</w:t>
      </w:r>
      <w:r w:rsidR="0059442D">
        <w:t>’</w:t>
      </w:r>
      <w:r w:rsidR="00FE3D99" w:rsidRPr="00784F6A">
        <w:t>exécution d</w:t>
      </w:r>
      <w:r w:rsidR="0059442D">
        <w:t>’</w:t>
      </w:r>
      <w:r w:rsidR="00FE3D99" w:rsidRPr="00784F6A">
        <w:t>apporter en temps voulu à toutes les Parties admissibles un appui adapté à la situation et aux besoins nationaux, sur demande, pour leur permettre de réviser ou d</w:t>
      </w:r>
      <w:r w:rsidR="0059442D">
        <w:t>’</w:t>
      </w:r>
      <w:r w:rsidR="00FE3D99" w:rsidRPr="00784F6A">
        <w:t>actualiser leurs stratégies et plans d</w:t>
      </w:r>
      <w:r w:rsidR="0059442D">
        <w:t>’</w:t>
      </w:r>
      <w:r w:rsidR="00FE3D99" w:rsidRPr="00784F6A">
        <w:t>action nationaux pour la biodiversité</w:t>
      </w:r>
      <w:r w:rsidR="00F35B4E">
        <w:t> ;</w:t>
      </w:r>
    </w:p>
    <w:p w14:paraId="6CF40BDB" w14:textId="77777777" w:rsidR="00B14B10" w:rsidRPr="00784F6A" w:rsidRDefault="00FE3D99" w:rsidP="00B14B10">
      <w:pPr>
        <w:keepNext/>
        <w:keepLines/>
        <w:tabs>
          <w:tab w:val="left" w:pos="2835"/>
          <w:tab w:val="left" w:pos="3402"/>
        </w:tabs>
        <w:spacing w:before="120" w:after="120"/>
        <w:ind w:left="567"/>
        <w:jc w:val="left"/>
        <w:rPr>
          <w:bCs/>
          <w:i/>
          <w:iCs/>
        </w:rPr>
      </w:pPr>
      <w:r w:rsidRPr="00784F6A">
        <w:rPr>
          <w:bCs/>
          <w:i/>
          <w:iCs/>
        </w:rPr>
        <w:t>Centre d</w:t>
      </w:r>
      <w:r w:rsidR="0059442D">
        <w:rPr>
          <w:bCs/>
          <w:i/>
          <w:iCs/>
        </w:rPr>
        <w:t>’</w:t>
      </w:r>
      <w:r w:rsidRPr="00784F6A">
        <w:rPr>
          <w:bCs/>
          <w:i/>
          <w:iCs/>
        </w:rPr>
        <w:t>échange</w:t>
      </w:r>
    </w:p>
    <w:p w14:paraId="6977CEE3" w14:textId="08AC12E8" w:rsidR="00B14B10" w:rsidRPr="00784F6A" w:rsidRDefault="00B14B10" w:rsidP="00B14B10">
      <w:pPr>
        <w:tabs>
          <w:tab w:val="left" w:pos="2835"/>
          <w:tab w:val="left" w:pos="3402"/>
        </w:tabs>
        <w:spacing w:after="120"/>
        <w:ind w:left="567" w:firstLine="567"/>
        <w:rPr>
          <w:rFonts w:eastAsia="Malgun Gothic"/>
          <w:snapToGrid w:val="0"/>
          <w:color w:val="000000"/>
          <w:kern w:val="22"/>
        </w:rPr>
      </w:pPr>
      <w:r w:rsidRPr="00784F6A">
        <w:t>3.</w:t>
      </w:r>
      <w:r w:rsidRPr="00784F6A">
        <w:tab/>
      </w:r>
      <w:r w:rsidR="00FE3D99" w:rsidRPr="00784F6A">
        <w:t>Prie le Fonds pour l</w:t>
      </w:r>
      <w:r w:rsidR="0059442D">
        <w:t>’</w:t>
      </w:r>
      <w:r w:rsidR="00FE3D99" w:rsidRPr="00784F6A">
        <w:t>environnement mondial, conformément à son mandat, d</w:t>
      </w:r>
      <w:r w:rsidR="0059442D">
        <w:t>’</w:t>
      </w:r>
      <w:r w:rsidR="00FE3D99" w:rsidRPr="00784F6A">
        <w:t>examiner les demandes de financement des pays en développement Parties, en particulier des pays les moins avancés et des petits États insulaires en développement, ainsi que des Parties à économie en transition, pour leur permettre de mettre en œuvre le programme de travail du centre d</w:t>
      </w:r>
      <w:r w:rsidR="0059442D">
        <w:t>’</w:t>
      </w:r>
      <w:r w:rsidR="00FE3D99" w:rsidRPr="00784F6A">
        <w:t>échange pour la période</w:t>
      </w:r>
      <w:r w:rsidR="00436638" w:rsidRPr="00784F6A">
        <w:t> </w:t>
      </w:r>
      <w:r w:rsidR="00FE3D99" w:rsidRPr="00784F6A">
        <w:t>2024-2030</w:t>
      </w:r>
      <w:r w:rsidR="00F35B4E">
        <w:t xml:space="preserve"> ;</w:t>
      </w:r>
    </w:p>
    <w:p w14:paraId="3448BDBF" w14:textId="77777777" w:rsidR="00B14B10" w:rsidRPr="00784F6A" w:rsidRDefault="00FE3D99" w:rsidP="00B14B10">
      <w:pPr>
        <w:keepNext/>
        <w:keepLines/>
        <w:tabs>
          <w:tab w:val="left" w:pos="2835"/>
          <w:tab w:val="left" w:pos="3402"/>
        </w:tabs>
        <w:spacing w:before="120" w:after="120"/>
        <w:ind w:left="567"/>
        <w:jc w:val="left"/>
        <w:rPr>
          <w:bCs/>
          <w:i/>
          <w:iCs/>
        </w:rPr>
      </w:pPr>
      <w:r w:rsidRPr="00784F6A">
        <w:rPr>
          <w:bCs/>
          <w:i/>
          <w:iCs/>
        </w:rPr>
        <w:t>Gestion des connaissances</w:t>
      </w:r>
    </w:p>
    <w:p w14:paraId="65A415B6" w14:textId="6702E660" w:rsidR="00B14B10" w:rsidRPr="00784F6A" w:rsidRDefault="00B14B10" w:rsidP="00B14B10">
      <w:pPr>
        <w:tabs>
          <w:tab w:val="left" w:pos="2835"/>
          <w:tab w:val="left" w:pos="3402"/>
        </w:tabs>
        <w:spacing w:after="120"/>
        <w:ind w:left="567" w:firstLine="567"/>
      </w:pPr>
      <w:r w:rsidRPr="00784F6A">
        <w:t>4.</w:t>
      </w:r>
      <w:r w:rsidRPr="00784F6A">
        <w:tab/>
      </w:r>
      <w:r w:rsidR="00FE3D99" w:rsidRPr="00784F6A">
        <w:t>Demande au Fonds pour l</w:t>
      </w:r>
      <w:r w:rsidR="0059442D">
        <w:t>’</w:t>
      </w:r>
      <w:r w:rsidR="00FE3D99" w:rsidRPr="00784F6A">
        <w:t>environnement mondial, conformément à son mandat, d</w:t>
      </w:r>
      <w:r w:rsidR="0059442D">
        <w:t>’</w:t>
      </w:r>
      <w:r w:rsidR="00FE3D99" w:rsidRPr="00784F6A">
        <w:t>apporter son appui à la gestion des connaissances dans le cadre de projets menés par les pays concernés</w:t>
      </w:r>
      <w:r w:rsidR="00F35B4E">
        <w:t xml:space="preserve"> ;</w:t>
      </w:r>
    </w:p>
    <w:p w14:paraId="62E1D256" w14:textId="77777777" w:rsidR="00B14B10" w:rsidRPr="00784F6A" w:rsidRDefault="00FE3D99" w:rsidP="00B14B10">
      <w:pPr>
        <w:keepNext/>
        <w:keepLines/>
        <w:tabs>
          <w:tab w:val="left" w:pos="2835"/>
          <w:tab w:val="left" w:pos="3402"/>
        </w:tabs>
        <w:spacing w:before="120" w:after="120"/>
        <w:ind w:left="567"/>
        <w:jc w:val="left"/>
        <w:rPr>
          <w:bCs/>
          <w:i/>
          <w:iCs/>
        </w:rPr>
      </w:pPr>
      <w:r w:rsidRPr="00784F6A">
        <w:rPr>
          <w:bCs/>
          <w:i/>
          <w:iCs/>
        </w:rPr>
        <w:t xml:space="preserve">Création et renforcement des capacités, coopération technique et scientifique et transfert de technologies  </w:t>
      </w:r>
    </w:p>
    <w:p w14:paraId="0C4F2AAD" w14:textId="62A5DD20" w:rsidR="00B14B10" w:rsidRPr="00784F6A" w:rsidRDefault="00B14B10" w:rsidP="00B14B10">
      <w:pPr>
        <w:tabs>
          <w:tab w:val="left" w:pos="2835"/>
          <w:tab w:val="left" w:pos="3402"/>
        </w:tabs>
        <w:spacing w:after="120"/>
        <w:ind w:left="567" w:firstLine="567"/>
      </w:pPr>
      <w:r w:rsidRPr="00784F6A">
        <w:t>5.</w:t>
      </w:r>
      <w:r w:rsidRPr="00784F6A">
        <w:tab/>
      </w:r>
      <w:r w:rsidR="00A66C9D" w:rsidRPr="00784F6A">
        <w:t>Demande au Fonds pour l</w:t>
      </w:r>
      <w:r w:rsidR="0059442D">
        <w:t>’</w:t>
      </w:r>
      <w:r w:rsidR="00A66C9D" w:rsidRPr="00784F6A">
        <w:t>environnement mondial, notamment par l</w:t>
      </w:r>
      <w:r w:rsidR="0059442D">
        <w:t>’</w:t>
      </w:r>
      <w:r w:rsidR="00A66C9D" w:rsidRPr="00784F6A">
        <w:t>intermédiaire du Fonds du Cadre mondial de la biodiversité, conformément à leurs mandats, de continuer à appuyer dans tou</w:t>
      </w:r>
      <w:r w:rsidR="00F35B4E">
        <w:t>te</w:t>
      </w:r>
      <w:r w:rsidR="00A66C9D" w:rsidRPr="00784F6A">
        <w:t xml:space="preserve">s les </w:t>
      </w:r>
      <w:r w:rsidR="00F35B4E">
        <w:t>Parties</w:t>
      </w:r>
      <w:r w:rsidR="00A66C9D" w:rsidRPr="00784F6A">
        <w:t xml:space="preserve"> admissibles des projets menés par les pays, comprenant la coopération technique et scientifique, le transfert de technologies et le renforcement des capacités pour la mise en œuvre du Cadre mondial de la biodiversité de Kunming-Montréal</w:t>
      </w:r>
      <w:r w:rsidRPr="00784F6A">
        <w:rPr>
          <w:vertAlign w:val="superscript"/>
        </w:rPr>
        <w:footnoteReference w:id="38"/>
      </w:r>
      <w:r w:rsidR="00F35B4E">
        <w:t xml:space="preserve"> ;</w:t>
      </w:r>
    </w:p>
    <w:p w14:paraId="5424E4DF" w14:textId="3C2AB994" w:rsidR="00B14B10" w:rsidRPr="00784F6A" w:rsidRDefault="00B14B10" w:rsidP="00B14B10">
      <w:pPr>
        <w:tabs>
          <w:tab w:val="left" w:pos="2835"/>
          <w:tab w:val="left" w:pos="3402"/>
        </w:tabs>
        <w:spacing w:after="120"/>
        <w:ind w:left="567" w:firstLine="567"/>
      </w:pPr>
      <w:r w:rsidRPr="00784F6A">
        <w:lastRenderedPageBreak/>
        <w:t>6.</w:t>
      </w:r>
      <w:r w:rsidRPr="00784F6A">
        <w:tab/>
      </w:r>
      <w:r w:rsidR="00A66C9D" w:rsidRPr="00784F6A">
        <w:t>Demande également au Fonds pour l</w:t>
      </w:r>
      <w:r w:rsidR="0059442D">
        <w:t>’</w:t>
      </w:r>
      <w:r w:rsidR="00A66C9D" w:rsidRPr="00784F6A">
        <w:t>environnement mondial, notamment par l</w:t>
      </w:r>
      <w:r w:rsidR="0059442D">
        <w:t>’</w:t>
      </w:r>
      <w:r w:rsidR="00A66C9D" w:rsidRPr="00784F6A">
        <w:t>intermédiaire du Fonds du Cadre mondial de la biodiversité, et conformément à leurs mandats, ainsi qu</w:t>
      </w:r>
      <w:r w:rsidR="0059442D">
        <w:t>’</w:t>
      </w:r>
      <w:r w:rsidR="00A66C9D" w:rsidRPr="00784F6A">
        <w:t>au Fonds de Kunming pour la biodiversité et à d</w:t>
      </w:r>
      <w:r w:rsidR="0059442D">
        <w:t>’</w:t>
      </w:r>
      <w:r w:rsidR="00A66C9D" w:rsidRPr="00784F6A">
        <w:t>autres fonds, d</w:t>
      </w:r>
      <w:r w:rsidR="0059442D">
        <w:t>’</w:t>
      </w:r>
      <w:r w:rsidR="00A66C9D" w:rsidRPr="00784F6A">
        <w:t>appuyer, le cas échéant, l</w:t>
      </w:r>
      <w:r w:rsidR="0059442D">
        <w:t>’</w:t>
      </w:r>
      <w:r w:rsidR="00A66C9D" w:rsidRPr="00784F6A">
        <w:t>opérationnalisation et les activités admissibles des centres régionaux et sous-régionaux d</w:t>
      </w:r>
      <w:r w:rsidR="0059442D">
        <w:t>’</w:t>
      </w:r>
      <w:r w:rsidR="00A66C9D" w:rsidRPr="00784F6A">
        <w:t>appui à la coopération technique et scientifique dans les pays en développement Parties, en particulier les pays les moins avancés et les petits États insulaires en développement, ainsi que dans les Parties à économie en transition, dans le cadre de projets menés à l</w:t>
      </w:r>
      <w:r w:rsidR="0059442D">
        <w:t>’</w:t>
      </w:r>
      <w:r w:rsidR="00A66C9D" w:rsidRPr="00784F6A">
        <w:t>initiative des pays</w:t>
      </w:r>
      <w:r w:rsidR="00F35B4E">
        <w:t xml:space="preserve"> ;</w:t>
      </w:r>
    </w:p>
    <w:p w14:paraId="266D176E" w14:textId="77777777" w:rsidR="00B14B10" w:rsidRPr="00784F6A" w:rsidRDefault="00A66C9D" w:rsidP="00B14B10">
      <w:pPr>
        <w:keepNext/>
        <w:keepLines/>
        <w:tabs>
          <w:tab w:val="left" w:pos="2835"/>
          <w:tab w:val="left" w:pos="3402"/>
        </w:tabs>
        <w:spacing w:before="120" w:after="120"/>
        <w:ind w:left="567"/>
        <w:jc w:val="left"/>
        <w:rPr>
          <w:bCs/>
          <w:i/>
          <w:iCs/>
        </w:rPr>
      </w:pPr>
      <w:r w:rsidRPr="00784F6A">
        <w:rPr>
          <w:bCs/>
          <w:i/>
          <w:iCs/>
        </w:rPr>
        <w:t xml:space="preserve">Cadre de suivi du Cadre mondial de la biodiversité de Kunming-Montréal  </w:t>
      </w:r>
    </w:p>
    <w:p w14:paraId="42289753" w14:textId="562B43DD" w:rsidR="00B14B10" w:rsidRPr="00784F6A" w:rsidRDefault="00B14B10" w:rsidP="00B14B10">
      <w:pPr>
        <w:tabs>
          <w:tab w:val="left" w:pos="2835"/>
          <w:tab w:val="left" w:pos="3402"/>
        </w:tabs>
        <w:spacing w:after="120"/>
        <w:ind w:left="567" w:firstLine="567"/>
      </w:pPr>
      <w:r w:rsidRPr="00784F6A">
        <w:t>7.</w:t>
      </w:r>
      <w:r w:rsidRPr="00784F6A">
        <w:tab/>
      </w:r>
      <w:r w:rsidR="00A66C9D" w:rsidRPr="00784F6A">
        <w:t>Demande au Fonds pour l</w:t>
      </w:r>
      <w:r w:rsidR="0059442D">
        <w:t>’</w:t>
      </w:r>
      <w:r w:rsidR="00A66C9D" w:rsidRPr="00784F6A">
        <w:t>environnement mondial de fournir en temps voulu des ressources financières suffisantes et prévisibles pour contribuer à l</w:t>
      </w:r>
      <w:r w:rsidR="0059442D">
        <w:t>’</w:t>
      </w:r>
      <w:r w:rsidR="00A66C9D" w:rsidRPr="00784F6A">
        <w:t xml:space="preserve">élaboration et à la mise en œuvre de systèmes nationaux de </w:t>
      </w:r>
      <w:r w:rsidR="000134C5" w:rsidRPr="00784F6A">
        <w:t>suivi</w:t>
      </w:r>
      <w:r w:rsidR="00A66C9D" w:rsidRPr="00784F6A">
        <w:t xml:space="preserve"> de la diversité biologique</w:t>
      </w:r>
      <w:r w:rsidR="00656D3B" w:rsidRPr="00784F6A">
        <w:t xml:space="preserve">, notamment </w:t>
      </w:r>
      <w:r w:rsidR="00A66C9D" w:rsidRPr="00784F6A">
        <w:t>grâce à la création et au renforcement des capacités afin d</w:t>
      </w:r>
      <w:r w:rsidR="0059442D">
        <w:t>’</w:t>
      </w:r>
      <w:r w:rsidR="00A66C9D" w:rsidRPr="00784F6A">
        <w:t>appuyer les activités de compte rendu des Parties, en réponse aux demandes de tou</w:t>
      </w:r>
      <w:r w:rsidR="00656D3B" w:rsidRPr="00784F6A">
        <w:t>te</w:t>
      </w:r>
      <w:r w:rsidR="00A66C9D" w:rsidRPr="00784F6A">
        <w:t xml:space="preserve">s </w:t>
      </w:r>
      <w:r w:rsidR="00656D3B" w:rsidRPr="00784F6A">
        <w:t>les</w:t>
      </w:r>
      <w:r w:rsidR="00A66C9D" w:rsidRPr="00784F6A">
        <w:t xml:space="preserve"> Parties admissibles, en particulier les pays les moins avancés et les petits États insulaires en développement</w:t>
      </w:r>
      <w:r w:rsidR="00656D3B" w:rsidRPr="00784F6A">
        <w:t xml:space="preserve">, </w:t>
      </w:r>
      <w:r w:rsidR="00A66C9D" w:rsidRPr="00784F6A">
        <w:t>et conformément à son mandat</w:t>
      </w:r>
      <w:r w:rsidR="00F35B4E">
        <w:t xml:space="preserve"> ;</w:t>
      </w:r>
    </w:p>
    <w:p w14:paraId="2A42261E" w14:textId="77777777" w:rsidR="00B14B10" w:rsidRPr="00784F6A" w:rsidRDefault="00BC0643" w:rsidP="00B14B10">
      <w:pPr>
        <w:keepNext/>
        <w:keepLines/>
        <w:tabs>
          <w:tab w:val="left" w:pos="2835"/>
          <w:tab w:val="left" w:pos="3402"/>
        </w:tabs>
        <w:spacing w:before="120" w:after="120"/>
        <w:ind w:left="567"/>
        <w:jc w:val="left"/>
        <w:rPr>
          <w:bCs/>
          <w:i/>
          <w:iCs/>
        </w:rPr>
      </w:pPr>
      <w:r w:rsidRPr="00784F6A">
        <w:rPr>
          <w:bCs/>
          <w:i/>
          <w:iCs/>
        </w:rPr>
        <w:t xml:space="preserve">Protocole de Cartagena sur la prévention des risques biotechnologiques  </w:t>
      </w:r>
    </w:p>
    <w:p w14:paraId="46BD1401" w14:textId="0ED53A93" w:rsidR="00BC0643" w:rsidRPr="00784F6A" w:rsidRDefault="00B14B10" w:rsidP="00BC0643">
      <w:pPr>
        <w:tabs>
          <w:tab w:val="left" w:pos="2835"/>
          <w:tab w:val="left" w:pos="3402"/>
        </w:tabs>
        <w:spacing w:after="120"/>
        <w:ind w:left="567" w:firstLine="567"/>
      </w:pPr>
      <w:r w:rsidRPr="00784F6A">
        <w:t>8.</w:t>
      </w:r>
      <w:r w:rsidRPr="00784F6A">
        <w:tab/>
      </w:r>
      <w:r w:rsidR="00BC0643" w:rsidRPr="00784F6A">
        <w:t>Demande au Fonds pour l</w:t>
      </w:r>
      <w:r w:rsidR="0059442D">
        <w:t>’</w:t>
      </w:r>
      <w:r w:rsidR="00BC0643" w:rsidRPr="00784F6A">
        <w:t>environnement mondial, et invite les autres fonds concernés, de continuer à mettre des fonds à la disposition des Parties à l</w:t>
      </w:r>
      <w:r w:rsidR="0059442D">
        <w:t>’</w:t>
      </w:r>
      <w:r w:rsidR="00BC0643" w:rsidRPr="00784F6A">
        <w:t>appui d</w:t>
      </w:r>
      <w:r w:rsidR="0059442D">
        <w:t>’</w:t>
      </w:r>
      <w:r w:rsidR="00BC0643" w:rsidRPr="00784F6A">
        <w:t>activités liées au centre d</w:t>
      </w:r>
      <w:r w:rsidR="0059442D">
        <w:t>’</w:t>
      </w:r>
      <w:r w:rsidR="00BC0643" w:rsidRPr="00784F6A">
        <w:t>échange sur la prévention des risques biotechnologiques et aux sites web nationaux consacrés à la prévention des risques biotechnologiques</w:t>
      </w:r>
      <w:r w:rsidR="00F35B4E">
        <w:t xml:space="preserve"> ;</w:t>
      </w:r>
    </w:p>
    <w:p w14:paraId="5EB552A9" w14:textId="32EE00DA" w:rsidR="00BC0643" w:rsidRPr="00784F6A" w:rsidRDefault="00BC0643" w:rsidP="00BC0643">
      <w:pPr>
        <w:tabs>
          <w:tab w:val="left" w:pos="2835"/>
          <w:tab w:val="left" w:pos="3402"/>
        </w:tabs>
        <w:spacing w:after="120"/>
        <w:ind w:left="567" w:firstLine="567"/>
      </w:pPr>
      <w:r w:rsidRPr="00784F6A">
        <w:t>9.    Demande également au Fonds pour l</w:t>
      </w:r>
      <w:r w:rsidR="0059442D">
        <w:t>’</w:t>
      </w:r>
      <w:r w:rsidRPr="00784F6A">
        <w:t>environnement mondial d</w:t>
      </w:r>
      <w:r w:rsidR="0059442D">
        <w:t>’</w:t>
      </w:r>
      <w:r w:rsidRPr="00784F6A">
        <w:t>aider les Parties admissibles en leur donnant accès en temps voulu aux moyens de mise en œuvre à l</w:t>
      </w:r>
      <w:r w:rsidR="0059442D">
        <w:t>’</w:t>
      </w:r>
      <w:r w:rsidRPr="00784F6A">
        <w:t>échelle requise pour couvrir la portée et la rapidité de l</w:t>
      </w:r>
      <w:r w:rsidR="0059442D">
        <w:t>’</w:t>
      </w:r>
      <w:r w:rsidRPr="00784F6A">
        <w:t>assistance nécessaire, notamment pour renforcer l</w:t>
      </w:r>
      <w:r w:rsidR="0059442D">
        <w:t>’</w:t>
      </w:r>
      <w:r w:rsidRPr="00784F6A">
        <w:t>infrastructure de détection et d</w:t>
      </w:r>
      <w:r w:rsidR="0059442D">
        <w:t>’</w:t>
      </w:r>
      <w:r w:rsidRPr="00784F6A">
        <w:t>identification des organismes vivants modifiés, mettre en place des réseaux régionaux de laboratoires, entreprendre des activités de renforcement des capacités et élaborer ou acquérir des matériaux de référence certifiés, et invite instamment les Parties à soumettre des propositions appropriées dans ce contexte au Fonds pour l</w:t>
      </w:r>
      <w:r w:rsidR="0059442D">
        <w:t>’</w:t>
      </w:r>
      <w:r w:rsidRPr="00784F6A">
        <w:t>environnement mondial afin d</w:t>
      </w:r>
      <w:r w:rsidR="0059442D">
        <w:t>’</w:t>
      </w:r>
      <w:r w:rsidRPr="00784F6A">
        <w:t>obtenir l</w:t>
      </w:r>
      <w:r w:rsidR="0059442D">
        <w:t>’</w:t>
      </w:r>
      <w:r w:rsidRPr="00784F6A">
        <w:t>appui nécessaire à ces activités</w:t>
      </w:r>
      <w:r w:rsidR="00F35B4E">
        <w:t xml:space="preserve"> ;</w:t>
      </w:r>
    </w:p>
    <w:p w14:paraId="6D31179A" w14:textId="77777777" w:rsidR="00B14B10" w:rsidRPr="00784F6A" w:rsidRDefault="00BC0643" w:rsidP="00BC0643">
      <w:pPr>
        <w:tabs>
          <w:tab w:val="left" w:pos="2835"/>
          <w:tab w:val="left" w:pos="3402"/>
        </w:tabs>
        <w:spacing w:after="120"/>
        <w:ind w:left="567" w:firstLine="567"/>
      </w:pPr>
      <w:r w:rsidRPr="00784F6A">
        <w:t>10.    Demande en outre au Fonds pour l</w:t>
      </w:r>
      <w:r w:rsidR="0059442D">
        <w:t>’</w:t>
      </w:r>
      <w:r w:rsidRPr="00784F6A">
        <w:t>environnement mondial</w:t>
      </w:r>
      <w:r w:rsidR="00B14B10" w:rsidRPr="00784F6A">
        <w:rPr>
          <w:vertAlign w:val="superscript"/>
        </w:rPr>
        <w:footnoteReference w:id="39"/>
      </w:r>
      <w:r w:rsidR="00436638" w:rsidRPr="00784F6A">
        <w:t> </w:t>
      </w:r>
      <w:r w:rsidRPr="00784F6A">
        <w:t>:</w:t>
      </w:r>
      <w:r w:rsidR="00B14B10" w:rsidRPr="00784F6A">
        <w:t xml:space="preserve"> </w:t>
      </w:r>
    </w:p>
    <w:p w14:paraId="0F63529A" w14:textId="77777777" w:rsidR="00B14B10" w:rsidRPr="00784F6A" w:rsidRDefault="00B14B10" w:rsidP="000134C5">
      <w:pPr>
        <w:tabs>
          <w:tab w:val="clear" w:pos="567"/>
          <w:tab w:val="left" w:pos="2835"/>
          <w:tab w:val="left" w:pos="3402"/>
        </w:tabs>
        <w:spacing w:after="120"/>
        <w:ind w:left="1701" w:hanging="567"/>
      </w:pPr>
      <w:r w:rsidRPr="00784F6A">
        <w:t>a)</w:t>
      </w:r>
      <w:r w:rsidRPr="00784F6A">
        <w:tab/>
      </w:r>
      <w:r w:rsidR="00BC0643" w:rsidRPr="00784F6A">
        <w:t>De fournir des fonds en temps utile pour aider les Parties admissibles à élaborer et à présenter leur cinquième rapport national en application du Protocole de Cartagena sur la prévention des risques biotechnologiques</w:t>
      </w:r>
      <w:r w:rsidRPr="00784F6A">
        <w:rPr>
          <w:iCs/>
          <w:snapToGrid w:val="0"/>
          <w:kern w:val="22"/>
          <w:vertAlign w:val="superscript"/>
        </w:rPr>
        <w:footnoteReference w:id="40"/>
      </w:r>
      <w:r w:rsidR="00202E35" w:rsidRPr="00784F6A">
        <w:t> </w:t>
      </w:r>
      <w:r w:rsidR="00BC0643" w:rsidRPr="00784F6A">
        <w:t>;</w:t>
      </w:r>
    </w:p>
    <w:p w14:paraId="7064A7BF" w14:textId="77777777" w:rsidR="00B14B10" w:rsidRPr="00784F6A" w:rsidRDefault="00B14B10" w:rsidP="00B14B10">
      <w:pPr>
        <w:tabs>
          <w:tab w:val="left" w:pos="2835"/>
          <w:tab w:val="left" w:pos="3402"/>
        </w:tabs>
        <w:spacing w:after="120"/>
        <w:ind w:left="1701" w:hanging="567"/>
      </w:pPr>
      <w:r w:rsidRPr="00784F6A">
        <w:t>b)</w:t>
      </w:r>
      <w:r w:rsidRPr="00784F6A">
        <w:tab/>
      </w:r>
      <w:r w:rsidR="00BC0643" w:rsidRPr="00784F6A">
        <w:t>De continuer à étudier les modalités de réforme de son fonctionnement, notamment en examinant comment augmenter les fonds consacrés à la mise en œuvre du Protocole de Cartagena et en tirant parti des projets mondiaux et régionaux, de manière à lui permettre de s</w:t>
      </w:r>
      <w:r w:rsidR="0059442D">
        <w:t>’</w:t>
      </w:r>
      <w:r w:rsidR="00BC0643" w:rsidRPr="00784F6A">
        <w:t>acquitter efficacement de ses responsabilités en matière de fonctionnement du mécanisme de financement du Protocole à titre provisoire et de manière continue, et de rendre compte de ces questions à la dix-septième réunion de la Conférence des Parties à la Convention sur la diversité biologique</w:t>
      </w:r>
      <w:r w:rsidR="00202E35" w:rsidRPr="00784F6A">
        <w:t> </w:t>
      </w:r>
      <w:r w:rsidRPr="00784F6A">
        <w:t>;</w:t>
      </w:r>
    </w:p>
    <w:p w14:paraId="6084475E" w14:textId="77777777" w:rsidR="00BC0643" w:rsidRPr="00784F6A" w:rsidRDefault="00B14B10" w:rsidP="00BC0643">
      <w:pPr>
        <w:tabs>
          <w:tab w:val="left" w:pos="2835"/>
          <w:tab w:val="left" w:pos="3402"/>
        </w:tabs>
        <w:spacing w:after="120"/>
        <w:ind w:left="1701" w:hanging="567"/>
      </w:pPr>
      <w:r w:rsidRPr="00784F6A">
        <w:t>c)</w:t>
      </w:r>
      <w:r w:rsidRPr="00784F6A">
        <w:tab/>
      </w:r>
      <w:r w:rsidR="00BC0643" w:rsidRPr="00784F6A">
        <w:t>D</w:t>
      </w:r>
      <w:r w:rsidR="0059442D">
        <w:t>’</w:t>
      </w:r>
      <w:r w:rsidR="00BC0643" w:rsidRPr="00784F6A">
        <w:t xml:space="preserve">examiner le </w:t>
      </w:r>
      <w:r w:rsidR="0045606C" w:rsidRPr="00784F6A">
        <w:t>bien-fondé</w:t>
      </w:r>
      <w:r w:rsidR="00BC0643" w:rsidRPr="00784F6A">
        <w:t xml:space="preserve"> de la création d</w:t>
      </w:r>
      <w:r w:rsidR="0059442D">
        <w:t>’</w:t>
      </w:r>
      <w:r w:rsidR="00BC0643" w:rsidRPr="00784F6A">
        <w:t>un guichet de financement autonome pour la prévention des risques biotechnologiques, pour examen par la Conférence des Parties en tant que réunion des Parties au Protocole Cartagena à sa douzième réunion</w:t>
      </w:r>
      <w:r w:rsidR="00202E35" w:rsidRPr="00784F6A">
        <w:t> </w:t>
      </w:r>
      <w:r w:rsidR="00BC0643" w:rsidRPr="00784F6A">
        <w:t>;</w:t>
      </w:r>
    </w:p>
    <w:p w14:paraId="4DB2BA16" w14:textId="77777777" w:rsidR="00BC0643" w:rsidRPr="00784F6A" w:rsidRDefault="00BC0643" w:rsidP="00BC0643">
      <w:pPr>
        <w:tabs>
          <w:tab w:val="left" w:pos="2835"/>
          <w:tab w:val="left" w:pos="3402"/>
        </w:tabs>
        <w:spacing w:after="120"/>
        <w:ind w:left="1701" w:hanging="567"/>
      </w:pPr>
      <w:r w:rsidRPr="00784F6A">
        <w:t xml:space="preserve">d) </w:t>
      </w:r>
      <w:r w:rsidRPr="00784F6A">
        <w:tab/>
        <w:t>De simplifier le processus de soumission des propositions de projets en matière de prévention des risques biotechnologiques</w:t>
      </w:r>
      <w:r w:rsidR="00202E35" w:rsidRPr="00784F6A">
        <w:t> </w:t>
      </w:r>
      <w:r w:rsidRPr="00784F6A">
        <w:t>;</w:t>
      </w:r>
    </w:p>
    <w:p w14:paraId="5C99CF22" w14:textId="2B355865" w:rsidR="00B14B10" w:rsidRPr="00784F6A" w:rsidRDefault="00BC0643" w:rsidP="00BC0643">
      <w:pPr>
        <w:tabs>
          <w:tab w:val="left" w:pos="2835"/>
          <w:tab w:val="left" w:pos="3402"/>
        </w:tabs>
        <w:spacing w:after="120"/>
        <w:ind w:left="1701" w:hanging="567"/>
      </w:pPr>
      <w:r w:rsidRPr="00784F6A">
        <w:lastRenderedPageBreak/>
        <w:t xml:space="preserve">e) </w:t>
      </w:r>
      <w:r w:rsidRPr="00784F6A">
        <w:tab/>
        <w:t xml:space="preserve">De faciliter les activités de renforcement des capacités, notamment au moyen de webinaires, </w:t>
      </w:r>
      <w:r w:rsidR="000134C5" w:rsidRPr="00784F6A">
        <w:t>pour</w:t>
      </w:r>
      <w:r w:rsidRPr="00784F6A">
        <w:t xml:space="preserve"> la conception de projets relatifs à la prévention des risques biotechnologiques</w:t>
      </w:r>
      <w:r w:rsidR="00F35B4E">
        <w:t xml:space="preserve"> ;</w:t>
      </w:r>
    </w:p>
    <w:p w14:paraId="13AC2FD5" w14:textId="77777777" w:rsidR="00B14B10" w:rsidRPr="00784F6A" w:rsidRDefault="00BC0643" w:rsidP="00B14B10">
      <w:pPr>
        <w:keepNext/>
        <w:keepLines/>
        <w:tabs>
          <w:tab w:val="left" w:pos="2835"/>
          <w:tab w:val="left" w:pos="3402"/>
        </w:tabs>
        <w:spacing w:before="120" w:after="120"/>
        <w:ind w:left="567"/>
        <w:jc w:val="left"/>
        <w:rPr>
          <w:bCs/>
          <w:i/>
          <w:iCs/>
        </w:rPr>
      </w:pPr>
      <w:r w:rsidRPr="00784F6A">
        <w:rPr>
          <w:bCs/>
          <w:i/>
          <w:iCs/>
        </w:rPr>
        <w:t>Protocole de Nagoya sur l</w:t>
      </w:r>
      <w:r w:rsidR="0059442D">
        <w:rPr>
          <w:bCs/>
          <w:i/>
          <w:iCs/>
        </w:rPr>
        <w:t>’</w:t>
      </w:r>
      <w:r w:rsidRPr="00784F6A">
        <w:rPr>
          <w:bCs/>
          <w:i/>
          <w:iCs/>
        </w:rPr>
        <w:t>accès aux ressources génétiques et le</w:t>
      </w:r>
      <w:r w:rsidR="00B14B10" w:rsidRPr="00784F6A">
        <w:rPr>
          <w:bCs/>
          <w:i/>
          <w:iCs/>
        </w:rPr>
        <w:t xml:space="preserve"> </w:t>
      </w:r>
      <w:r w:rsidR="00B14B10" w:rsidRPr="00784F6A">
        <w:rPr>
          <w:bCs/>
          <w:i/>
          <w:iCs/>
        </w:rPr>
        <w:br/>
      </w:r>
      <w:r w:rsidRPr="00784F6A">
        <w:rPr>
          <w:bCs/>
          <w:i/>
          <w:iCs/>
        </w:rPr>
        <w:t>partage juste et équitable des avantages découlant de leur utilisation</w:t>
      </w:r>
      <w:r w:rsidR="00B14B10" w:rsidRPr="00784F6A">
        <w:rPr>
          <w:bCs/>
          <w:vertAlign w:val="superscript"/>
        </w:rPr>
        <w:footnoteReference w:id="41"/>
      </w:r>
    </w:p>
    <w:p w14:paraId="4FB3C81C" w14:textId="6C04EF8E" w:rsidR="00BC0643" w:rsidRPr="00784F6A" w:rsidRDefault="00B14B10" w:rsidP="00BC0643">
      <w:pPr>
        <w:tabs>
          <w:tab w:val="left" w:pos="2835"/>
          <w:tab w:val="left" w:pos="3402"/>
        </w:tabs>
        <w:spacing w:after="120"/>
        <w:ind w:left="567" w:firstLine="567"/>
      </w:pPr>
      <w:r w:rsidRPr="00784F6A">
        <w:t>11.</w:t>
      </w:r>
      <w:r w:rsidRPr="00784F6A">
        <w:tab/>
      </w:r>
      <w:r w:rsidR="00BC0643" w:rsidRPr="00784F6A">
        <w:t>Demande au Fonds pour l</w:t>
      </w:r>
      <w:r w:rsidR="0059442D">
        <w:t>’</w:t>
      </w:r>
      <w:r w:rsidR="00BC0643" w:rsidRPr="00784F6A">
        <w:t>environnement mondial d</w:t>
      </w:r>
      <w:r w:rsidR="0059442D">
        <w:t>’</w:t>
      </w:r>
      <w:r w:rsidR="00BC0643" w:rsidRPr="00784F6A">
        <w:t>accroître les fonds qu</w:t>
      </w:r>
      <w:r w:rsidR="0059442D">
        <w:t>’</w:t>
      </w:r>
      <w:r w:rsidR="00BC0643" w:rsidRPr="00784F6A">
        <w:t>il destine à l</w:t>
      </w:r>
      <w:r w:rsidR="0059442D">
        <w:t>’</w:t>
      </w:r>
      <w:r w:rsidR="00BC0643" w:rsidRPr="00784F6A">
        <w:t>appui aux Parties admissibles pour la mise en œuvre d</w:t>
      </w:r>
      <w:r w:rsidR="00F35B4E">
        <w:t>u Protocole de</w:t>
      </w:r>
      <w:r w:rsidR="00F35B4E" w:rsidRPr="00F35B4E">
        <w:t xml:space="preserve"> Nagoya sur l'accès aux ressources génétiques et le partage juste et équitable des avantages découlant de leur utilisation</w:t>
      </w:r>
      <w:r w:rsidR="00F35B4E" w:rsidRPr="00A3097C">
        <w:rPr>
          <w:rStyle w:val="Appelnotedebasdep"/>
        </w:rPr>
        <w:footnoteReference w:id="42"/>
      </w:r>
      <w:r w:rsidR="00F35B4E">
        <w:t xml:space="preserve"> </w:t>
      </w:r>
      <w:r w:rsidR="00BC0643" w:rsidRPr="00784F6A">
        <w:t>;</w:t>
      </w:r>
    </w:p>
    <w:p w14:paraId="3F10A9D2" w14:textId="77777777" w:rsidR="00BC0643" w:rsidRPr="00784F6A" w:rsidRDefault="00BC0643" w:rsidP="00BC0643">
      <w:pPr>
        <w:tabs>
          <w:tab w:val="left" w:pos="2835"/>
          <w:tab w:val="left" w:pos="3402"/>
        </w:tabs>
        <w:spacing w:after="120"/>
        <w:ind w:left="567" w:firstLine="567"/>
      </w:pPr>
      <w:r w:rsidRPr="00784F6A">
        <w:t>12.    Demande également au Fonds pour l</w:t>
      </w:r>
      <w:r w:rsidR="0059442D">
        <w:t>’</w:t>
      </w:r>
      <w:r w:rsidRPr="00784F6A">
        <w:t>environnement mondial et à ses agences d</w:t>
      </w:r>
      <w:r w:rsidR="0059442D">
        <w:t>’</w:t>
      </w:r>
      <w:r w:rsidRPr="00784F6A">
        <w:t>exécution de faciliter en temps voulu les processus pertinents afin que l</w:t>
      </w:r>
      <w:r w:rsidR="0059442D">
        <w:t>’</w:t>
      </w:r>
      <w:r w:rsidRPr="00784F6A">
        <w:t>appui à l</w:t>
      </w:r>
      <w:r w:rsidR="0059442D">
        <w:t>’</w:t>
      </w:r>
      <w:r w:rsidRPr="00784F6A">
        <w:t>élaboration des premiers rapports nationaux soit fourni aux Parties qui présentent leur</w:t>
      </w:r>
      <w:r w:rsidR="002F29BF" w:rsidRPr="00784F6A">
        <w:t>s</w:t>
      </w:r>
      <w:r w:rsidRPr="00784F6A">
        <w:t xml:space="preserve"> lettre</w:t>
      </w:r>
      <w:r w:rsidR="002F29BF" w:rsidRPr="00784F6A">
        <w:t>s</w:t>
      </w:r>
      <w:r w:rsidRPr="00784F6A">
        <w:t xml:space="preserve"> d</w:t>
      </w:r>
      <w:r w:rsidR="0059442D">
        <w:t>’</w:t>
      </w:r>
      <w:r w:rsidRPr="00784F6A">
        <w:t>approbation</w:t>
      </w:r>
      <w:r w:rsidR="00202E35" w:rsidRPr="00784F6A">
        <w:t> </w:t>
      </w:r>
      <w:r w:rsidRPr="00784F6A">
        <w:t>;</w:t>
      </w:r>
    </w:p>
    <w:p w14:paraId="7D4FBA59" w14:textId="5F2E3977" w:rsidR="0013069A" w:rsidRDefault="00BC0643" w:rsidP="004F440F">
      <w:pPr>
        <w:tabs>
          <w:tab w:val="left" w:pos="2835"/>
          <w:tab w:val="left" w:pos="3402"/>
        </w:tabs>
        <w:spacing w:after="120"/>
        <w:ind w:left="567" w:firstLine="567"/>
      </w:pPr>
      <w:r w:rsidRPr="00784F6A">
        <w:t>13.    Prie en outre le Fonds pour l</w:t>
      </w:r>
      <w:r w:rsidR="0059442D">
        <w:t>’</w:t>
      </w:r>
      <w:r w:rsidRPr="00784F6A">
        <w:t>environnement mondial d</w:t>
      </w:r>
      <w:r w:rsidR="0059442D">
        <w:t>’</w:t>
      </w:r>
      <w:r w:rsidRPr="00784F6A">
        <w:t>examiner les options permettant d</w:t>
      </w:r>
      <w:r w:rsidR="0059442D">
        <w:t>’</w:t>
      </w:r>
      <w:r w:rsidRPr="00784F6A">
        <w:t>appuyer la mise en œuvre du Protocole de Nagoya afin que le Fonds pour l</w:t>
      </w:r>
      <w:r w:rsidR="0059442D">
        <w:t>’</w:t>
      </w:r>
      <w:r w:rsidRPr="00784F6A">
        <w:t>environnement mondial soit en mesure de s</w:t>
      </w:r>
      <w:r w:rsidR="0059442D">
        <w:t>’</w:t>
      </w:r>
      <w:r w:rsidRPr="00784F6A">
        <w:t xml:space="preserve">acquitter le plus efficacement </w:t>
      </w:r>
      <w:r w:rsidR="00F0280F" w:rsidRPr="00784F6A">
        <w:t xml:space="preserve">de ses responsabilités dans la mise en œuvre du mécanisme </w:t>
      </w:r>
      <w:r w:rsidRPr="00784F6A">
        <w:t>de financement du Protocole à titre provisoire et de façon continue, et d</w:t>
      </w:r>
      <w:r w:rsidR="0059442D">
        <w:t>’</w:t>
      </w:r>
      <w:r w:rsidR="00F0280F" w:rsidRPr="00784F6A">
        <w:t xml:space="preserve">en rendre compte </w:t>
      </w:r>
      <w:r w:rsidRPr="00784F6A">
        <w:t xml:space="preserve">à la </w:t>
      </w:r>
      <w:r w:rsidR="002F29BF" w:rsidRPr="00784F6A">
        <w:t xml:space="preserve">dix-septième réunion de la </w:t>
      </w:r>
      <w:r w:rsidRPr="00784F6A">
        <w:t>Conférence des Parties.</w:t>
      </w:r>
    </w:p>
    <w:p w14:paraId="76ACD919" w14:textId="77777777" w:rsidR="001B1ED5" w:rsidRDefault="001B1ED5" w:rsidP="001B1ED5">
      <w:pPr>
        <w:pStyle w:val="CBDAnnex"/>
        <w:spacing w:before="240" w:after="120"/>
        <w:ind w:left="567"/>
        <w:rPr>
          <w:sz w:val="24"/>
          <w:szCs w:val="24"/>
        </w:rPr>
      </w:pPr>
      <w:r w:rsidRPr="00846225">
        <w:rPr>
          <w:sz w:val="24"/>
          <w:szCs w:val="24"/>
        </w:rPr>
        <w:t>Annex</w:t>
      </w:r>
      <w:r>
        <w:rPr>
          <w:sz w:val="24"/>
          <w:szCs w:val="24"/>
        </w:rPr>
        <w:t>e </w:t>
      </w:r>
      <w:r w:rsidRPr="00846225">
        <w:rPr>
          <w:sz w:val="24"/>
          <w:szCs w:val="24"/>
        </w:rPr>
        <w:t>III</w:t>
      </w:r>
      <w:r>
        <w:rPr>
          <w:sz w:val="24"/>
          <w:szCs w:val="24"/>
        </w:rPr>
        <w:br/>
      </w:r>
      <w:r w:rsidR="008A41D3" w:rsidRPr="008A41D3">
        <w:rPr>
          <w:sz w:val="24"/>
          <w:szCs w:val="24"/>
        </w:rPr>
        <w:t>Évaluation de l</w:t>
      </w:r>
      <w:r w:rsidR="0059442D">
        <w:rPr>
          <w:sz w:val="24"/>
          <w:szCs w:val="24"/>
        </w:rPr>
        <w:t>’</w:t>
      </w:r>
      <w:r w:rsidR="008A41D3" w:rsidRPr="008A41D3">
        <w:rPr>
          <w:sz w:val="24"/>
          <w:szCs w:val="24"/>
        </w:rPr>
        <w:t>efficacité du Fonds pour l</w:t>
      </w:r>
      <w:r w:rsidR="0059442D">
        <w:rPr>
          <w:sz w:val="24"/>
          <w:szCs w:val="24"/>
        </w:rPr>
        <w:t>’</w:t>
      </w:r>
      <w:r w:rsidR="008A41D3" w:rsidRPr="008A41D3">
        <w:rPr>
          <w:sz w:val="24"/>
          <w:szCs w:val="24"/>
        </w:rPr>
        <w:t>environnement mondial et éléments possibles pour sa réforme</w:t>
      </w:r>
    </w:p>
    <w:p w14:paraId="60117C28" w14:textId="4FB5E397" w:rsidR="001B1ED5" w:rsidRPr="00957F48" w:rsidRDefault="008A41D3" w:rsidP="001B1ED5">
      <w:pPr>
        <w:pStyle w:val="CBDNormal"/>
        <w:ind w:left="567"/>
        <w:rPr>
          <w:i/>
          <w:iCs/>
        </w:rPr>
      </w:pPr>
      <w:r w:rsidRPr="008A41D3">
        <w:rPr>
          <w:i/>
        </w:rPr>
        <w:t>Note : Les points ci-dessous ont été compilés par le Comité consultatif sur la mobilisation des ressources et, par la suite, par le groupe de contact sur la mobilisation des ressources lors de la seizième réunion de la Conférence des Parties, dans le but de refléter l</w:t>
      </w:r>
      <w:r w:rsidR="0059442D">
        <w:rPr>
          <w:i/>
        </w:rPr>
        <w:t>’</w:t>
      </w:r>
      <w:r w:rsidRPr="008A41D3">
        <w:rPr>
          <w:i/>
        </w:rPr>
        <w:t>ensemble des opinions des Parties afin d</w:t>
      </w:r>
      <w:r w:rsidR="0059442D">
        <w:rPr>
          <w:i/>
        </w:rPr>
        <w:t>’</w:t>
      </w:r>
      <w:r w:rsidRPr="008A41D3">
        <w:rPr>
          <w:i/>
        </w:rPr>
        <w:t xml:space="preserve">éclairer les travaux </w:t>
      </w:r>
      <w:r w:rsidR="00690BEB">
        <w:rPr>
          <w:i/>
        </w:rPr>
        <w:t>pris en référence</w:t>
      </w:r>
      <w:r w:rsidRPr="008A41D3">
        <w:rPr>
          <w:i/>
        </w:rPr>
        <w:t>. Ils n</w:t>
      </w:r>
      <w:r w:rsidR="0059442D">
        <w:rPr>
          <w:i/>
        </w:rPr>
        <w:t>’</w:t>
      </w:r>
      <w:r w:rsidRPr="008A41D3">
        <w:rPr>
          <w:i/>
        </w:rPr>
        <w:t>ont pas été négociés.</w:t>
      </w:r>
    </w:p>
    <w:p w14:paraId="19D4EFE9" w14:textId="77777777" w:rsidR="001B1ED5" w:rsidRPr="004643FD" w:rsidRDefault="001B1ED5" w:rsidP="001B1ED5">
      <w:pPr>
        <w:pStyle w:val="CBDNormalNumber"/>
        <w:numPr>
          <w:ilvl w:val="0"/>
          <w:numId w:val="0"/>
        </w:numPr>
        <w:ind w:left="567"/>
        <w:rPr>
          <w:rFonts w:asciiTheme="majorBidi" w:hAnsiTheme="majorBidi"/>
          <w:i/>
          <w:color w:val="000000" w:themeColor="text1"/>
        </w:rPr>
      </w:pPr>
      <w:r w:rsidRPr="004643FD">
        <w:t>1.</w:t>
      </w:r>
      <w:r w:rsidRPr="004643FD">
        <w:tab/>
      </w:r>
      <w:r w:rsidR="008A41D3">
        <w:t>Les sources d</w:t>
      </w:r>
      <w:r w:rsidR="0059442D">
        <w:t>’</w:t>
      </w:r>
      <w:r w:rsidR="008A41D3">
        <w:t>information peuvent inclure :</w:t>
      </w:r>
    </w:p>
    <w:p w14:paraId="19048E45" w14:textId="77777777" w:rsidR="001B1ED5" w:rsidRPr="004643FD" w:rsidRDefault="001B1ED5" w:rsidP="001B1ED5">
      <w:pPr>
        <w:pStyle w:val="CBDNormalNumber"/>
        <w:numPr>
          <w:ilvl w:val="0"/>
          <w:numId w:val="0"/>
        </w:numPr>
        <w:ind w:left="567" w:firstLine="567"/>
        <w:rPr>
          <w:color w:val="000000" w:themeColor="text1"/>
        </w:rPr>
      </w:pPr>
      <w:r w:rsidRPr="004643FD">
        <w:rPr>
          <w:color w:val="000000" w:themeColor="text1"/>
        </w:rPr>
        <w:t>a)</w:t>
      </w:r>
      <w:r w:rsidRPr="004643FD">
        <w:rPr>
          <w:color w:val="000000" w:themeColor="text1"/>
        </w:rPr>
        <w:tab/>
      </w:r>
      <w:r w:rsidR="008A41D3">
        <w:t>Les examens de l</w:t>
      </w:r>
      <w:r w:rsidR="0059442D">
        <w:t>’</w:t>
      </w:r>
      <w:r w:rsidR="008A41D3">
        <w:t>efficacité du mécanisme de financement dans la mise en œuvre de la Convention, réalisés conformément au mémorandum d</w:t>
      </w:r>
      <w:r w:rsidR="0059442D">
        <w:t>’</w:t>
      </w:r>
      <w:r w:rsidR="008A41D3">
        <w:t>accord entre la Conférence des Parties à la Convention et le Conseil du Fonds pour l</w:t>
      </w:r>
      <w:r w:rsidR="0059442D">
        <w:t>’</w:t>
      </w:r>
      <w:r w:rsidR="008A41D3">
        <w:t>environnement mondial, figurant à l</w:t>
      </w:r>
      <w:r w:rsidR="0059442D">
        <w:t>’</w:t>
      </w:r>
      <w:r w:rsidR="008A41D3">
        <w:t>annexe de la décision III/8 du 15 novembre 1996,</w:t>
      </w:r>
    </w:p>
    <w:p w14:paraId="5ED2B1A0" w14:textId="77777777" w:rsidR="001B1ED5" w:rsidRPr="004643FD" w:rsidRDefault="001B1ED5" w:rsidP="001B1ED5">
      <w:pPr>
        <w:pStyle w:val="CBDNormalNumber"/>
        <w:numPr>
          <w:ilvl w:val="0"/>
          <w:numId w:val="0"/>
        </w:numPr>
        <w:ind w:left="567" w:firstLine="567"/>
        <w:rPr>
          <w:rFonts w:asciiTheme="majorBidi" w:hAnsiTheme="majorBidi"/>
          <w:color w:val="000000" w:themeColor="text1"/>
        </w:rPr>
      </w:pPr>
      <w:r w:rsidRPr="004643FD">
        <w:rPr>
          <w:color w:val="000000" w:themeColor="text1"/>
        </w:rPr>
        <w:t>b)</w:t>
      </w:r>
      <w:r w:rsidRPr="004643FD">
        <w:rPr>
          <w:color w:val="000000" w:themeColor="text1"/>
        </w:rPr>
        <w:tab/>
      </w:r>
      <w:r w:rsidR="008A41D3">
        <w:t>Les rapports soumis par le Conseil du Fonds pour l</w:t>
      </w:r>
      <w:r w:rsidR="0059442D">
        <w:t>’</w:t>
      </w:r>
      <w:r w:rsidR="008A41D3">
        <w:t>environnement mondial aux réunions de la Conférence des Parties</w:t>
      </w:r>
      <w:r w:rsidR="008A41D3">
        <w:rPr>
          <w:rFonts w:asciiTheme="majorBidi" w:hAnsiTheme="majorBidi"/>
          <w:color w:val="000000" w:themeColor="text1"/>
        </w:rPr>
        <w:t>,</w:t>
      </w:r>
    </w:p>
    <w:p w14:paraId="53F528AE" w14:textId="3E8FF8F0" w:rsidR="001B1ED5" w:rsidRPr="004643FD" w:rsidRDefault="001B1ED5" w:rsidP="001B1ED5">
      <w:pPr>
        <w:pStyle w:val="CBDNormalNumber"/>
        <w:numPr>
          <w:ilvl w:val="0"/>
          <w:numId w:val="0"/>
        </w:numPr>
        <w:ind w:left="567" w:firstLine="567"/>
        <w:rPr>
          <w:rFonts w:asciiTheme="majorBidi" w:hAnsiTheme="majorBidi"/>
          <w:color w:val="000000" w:themeColor="text1"/>
        </w:rPr>
      </w:pPr>
      <w:r w:rsidRPr="004643FD">
        <w:rPr>
          <w:color w:val="000000" w:themeColor="text1"/>
        </w:rPr>
        <w:t>c)</w:t>
      </w:r>
      <w:r w:rsidRPr="004643FD">
        <w:rPr>
          <w:color w:val="000000" w:themeColor="text1"/>
        </w:rPr>
        <w:tab/>
      </w:r>
      <w:r w:rsidR="008A41D3">
        <w:t>L</w:t>
      </w:r>
      <w:r w:rsidR="0059442D">
        <w:t>’</w:t>
      </w:r>
      <w:r w:rsidR="008A41D3">
        <w:t>expérience acquise et les enseignements tirés des mécanismes de financement internationaux pertinents</w:t>
      </w:r>
      <w:r w:rsidR="00F35B4E">
        <w:t xml:space="preserve"> ;</w:t>
      </w:r>
    </w:p>
    <w:p w14:paraId="7F268814" w14:textId="77777777" w:rsidR="001B1ED5" w:rsidRPr="008A41D3" w:rsidRDefault="008A41D3" w:rsidP="001B1ED5">
      <w:pPr>
        <w:spacing w:before="120" w:after="120"/>
        <w:ind w:left="567"/>
        <w:rPr>
          <w:rFonts w:asciiTheme="majorBidi" w:hAnsiTheme="majorBidi"/>
          <w:i/>
          <w:iCs/>
          <w:color w:val="000000" w:themeColor="text1"/>
        </w:rPr>
      </w:pPr>
      <w:r w:rsidRPr="008A41D3">
        <w:rPr>
          <w:i/>
        </w:rPr>
        <w:t>Portée</w:t>
      </w:r>
    </w:p>
    <w:p w14:paraId="043F648D" w14:textId="36956ABC" w:rsidR="001B1ED5" w:rsidRPr="004643FD" w:rsidRDefault="001B1ED5" w:rsidP="001B1ED5">
      <w:pPr>
        <w:pStyle w:val="CBDNormalNumber"/>
        <w:numPr>
          <w:ilvl w:val="0"/>
          <w:numId w:val="0"/>
        </w:numPr>
        <w:ind w:left="567"/>
        <w:rPr>
          <w:rFonts w:asciiTheme="majorBidi" w:hAnsiTheme="majorBidi"/>
          <w:color w:val="000000" w:themeColor="text1"/>
        </w:rPr>
      </w:pPr>
      <w:r w:rsidRPr="004643FD">
        <w:t>2.</w:t>
      </w:r>
      <w:r w:rsidRPr="004643FD">
        <w:tab/>
      </w:r>
      <w:r w:rsidR="008A41D3">
        <w:t>L</w:t>
      </w:r>
      <w:r w:rsidR="0059442D">
        <w:t>’</w:t>
      </w:r>
      <w:r w:rsidR="008A41D3">
        <w:t>évaluation inclurait une comparaison du Fonds pour l</w:t>
      </w:r>
      <w:r w:rsidR="0059442D">
        <w:t>’</w:t>
      </w:r>
      <w:r w:rsidR="008A41D3">
        <w:t>environnement mondial avec les mécanismes de financement d</w:t>
      </w:r>
      <w:r w:rsidR="0059442D">
        <w:t>’</w:t>
      </w:r>
      <w:r w:rsidR="008A41D3">
        <w:t>autres accords multilatéraux sur l</w:t>
      </w:r>
      <w:r w:rsidR="0059442D">
        <w:t>’</w:t>
      </w:r>
      <w:r w:rsidR="008A41D3">
        <w:t>environnement pertinents, y compris le Fonds vert pour le climat, le Fonds pour l</w:t>
      </w:r>
      <w:r w:rsidR="0059442D">
        <w:t>’</w:t>
      </w:r>
      <w:r w:rsidR="008A41D3">
        <w:t xml:space="preserve">adaptation et le Fonds </w:t>
      </w:r>
      <w:r w:rsidR="00690BEB" w:rsidRPr="00690BEB">
        <w:t>permettant de faire face aux pertes et préjudices</w:t>
      </w:r>
      <w:r w:rsidR="00B216BA">
        <w:rPr>
          <w:color w:val="000000" w:themeColor="text1"/>
        </w:rPr>
        <w:t>,</w:t>
      </w:r>
    </w:p>
    <w:p w14:paraId="0F011D50" w14:textId="77777777" w:rsidR="001B1ED5" w:rsidRPr="004643FD" w:rsidRDefault="001B1ED5" w:rsidP="001B1ED5">
      <w:pPr>
        <w:pStyle w:val="CBDNormalNumber"/>
        <w:numPr>
          <w:ilvl w:val="0"/>
          <w:numId w:val="0"/>
        </w:numPr>
        <w:ind w:left="567"/>
        <w:rPr>
          <w:rFonts w:asciiTheme="majorBidi" w:hAnsiTheme="majorBidi"/>
          <w:i/>
          <w:color w:val="000000" w:themeColor="text1"/>
        </w:rPr>
      </w:pPr>
      <w:r w:rsidRPr="004643FD">
        <w:t>3.</w:t>
      </w:r>
      <w:r w:rsidRPr="004643FD">
        <w:tab/>
      </w:r>
      <w:r w:rsidR="008A41D3">
        <w:t>Les éléments à prendre en compte sont les suivants :</w:t>
      </w:r>
    </w:p>
    <w:p w14:paraId="38CE405C" w14:textId="31A0A72F" w:rsidR="001B1ED5" w:rsidRPr="004643FD" w:rsidRDefault="00B216BA" w:rsidP="001B1ED5">
      <w:pPr>
        <w:pStyle w:val="CBDNormalNumber"/>
        <w:numPr>
          <w:ilvl w:val="0"/>
          <w:numId w:val="0"/>
        </w:numPr>
        <w:ind w:left="567"/>
        <w:rPr>
          <w:color w:val="000000" w:themeColor="text1"/>
        </w:rPr>
      </w:pPr>
      <w:r>
        <w:tab/>
      </w:r>
      <w:r w:rsidR="001B1ED5">
        <w:t>a)</w:t>
      </w:r>
      <w:r w:rsidR="001B1ED5" w:rsidRPr="004643FD">
        <w:tab/>
      </w:r>
      <w:r w:rsidR="008A41D3">
        <w:t>Base des contribu</w:t>
      </w:r>
      <w:r>
        <w:t>t</w:t>
      </w:r>
      <w:r w:rsidR="008A41D3">
        <w:t>eurs</w:t>
      </w:r>
      <w:r w:rsidR="00690BEB">
        <w:t xml:space="preserve"> </w:t>
      </w:r>
      <w:r>
        <w:t>;</w:t>
      </w:r>
    </w:p>
    <w:p w14:paraId="5B87C909" w14:textId="3D4B9D3C"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lastRenderedPageBreak/>
        <w:t>b</w:t>
      </w:r>
      <w:r w:rsidRPr="004643FD">
        <w:rPr>
          <w:color w:val="000000" w:themeColor="text1"/>
        </w:rPr>
        <w:t>)</w:t>
      </w:r>
      <w:r w:rsidRPr="004643FD">
        <w:rPr>
          <w:color w:val="000000" w:themeColor="text1"/>
        </w:rPr>
        <w:tab/>
      </w:r>
      <w:r w:rsidR="008A41D3">
        <w:t>Nature juridique</w:t>
      </w:r>
      <w:r w:rsidR="00690BEB">
        <w:t xml:space="preserve"> </w:t>
      </w:r>
      <w:r w:rsidRPr="004643FD">
        <w:rPr>
          <w:rFonts w:asciiTheme="majorBidi" w:hAnsiTheme="majorBidi"/>
          <w:color w:val="000000" w:themeColor="text1"/>
        </w:rPr>
        <w:t>;</w:t>
      </w:r>
    </w:p>
    <w:p w14:paraId="03384048" w14:textId="5D8C7B83"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c</w:t>
      </w:r>
      <w:r w:rsidRPr="004643FD">
        <w:rPr>
          <w:color w:val="000000" w:themeColor="text1"/>
        </w:rPr>
        <w:t>)</w:t>
      </w:r>
      <w:r w:rsidRPr="004643FD">
        <w:rPr>
          <w:color w:val="000000" w:themeColor="text1"/>
        </w:rPr>
        <w:tab/>
      </w:r>
      <w:r w:rsidR="008A41D3">
        <w:t xml:space="preserve">Modalités de financement et </w:t>
      </w:r>
      <w:r w:rsidR="00690BEB">
        <w:t>r</w:t>
      </w:r>
      <w:r w:rsidR="00690BEB" w:rsidRPr="00690BEB">
        <w:t>ésultats financiers</w:t>
      </w:r>
      <w:r w:rsidR="00690BEB">
        <w:t xml:space="preserve"> </w:t>
      </w:r>
      <w:r w:rsidR="00B216BA">
        <w:rPr>
          <w:rFonts w:asciiTheme="majorBidi" w:hAnsiTheme="majorBidi"/>
          <w:color w:val="000000" w:themeColor="text1"/>
        </w:rPr>
        <w:t>;</w:t>
      </w:r>
    </w:p>
    <w:p w14:paraId="2006ADC0" w14:textId="5FB3864C"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d</w:t>
      </w:r>
      <w:r w:rsidRPr="004643FD">
        <w:rPr>
          <w:color w:val="000000" w:themeColor="text1"/>
        </w:rPr>
        <w:t>)</w:t>
      </w:r>
      <w:r w:rsidRPr="004643FD">
        <w:rPr>
          <w:color w:val="000000" w:themeColor="text1"/>
        </w:rPr>
        <w:tab/>
      </w:r>
      <w:r w:rsidR="008A41D3">
        <w:t>Critères et processus de financement, y compris les considérations liées au cycle des projets</w:t>
      </w:r>
      <w:r w:rsidR="00690BEB">
        <w:t xml:space="preserve"> </w:t>
      </w:r>
      <w:r w:rsidR="00B216BA">
        <w:rPr>
          <w:rFonts w:asciiTheme="majorBidi" w:hAnsiTheme="majorBidi"/>
          <w:color w:val="000000" w:themeColor="text1"/>
        </w:rPr>
        <w:t>;</w:t>
      </w:r>
    </w:p>
    <w:p w14:paraId="3B445CF2" w14:textId="3197D3B5"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e</w:t>
      </w:r>
      <w:r w:rsidRPr="004643FD">
        <w:rPr>
          <w:color w:val="000000" w:themeColor="text1"/>
        </w:rPr>
        <w:t>)</w:t>
      </w:r>
      <w:r w:rsidRPr="004643FD">
        <w:rPr>
          <w:color w:val="000000" w:themeColor="text1"/>
        </w:rPr>
        <w:tab/>
      </w:r>
      <w:r w:rsidR="008A41D3">
        <w:t>Modalités d</w:t>
      </w:r>
      <w:r w:rsidR="0059442D">
        <w:t>’</w:t>
      </w:r>
      <w:r w:rsidR="008A41D3">
        <w:t>accès et de décaissement (par exemple, allocation directe ou décaissement basé sur des projets), y compris pour</w:t>
      </w:r>
      <w:r w:rsidR="00B216BA">
        <w:t xml:space="preserve"> les peuples autochtones et </w:t>
      </w:r>
      <w:r w:rsidR="008A41D3">
        <w:t>communautés locales, les femmes et les jeunes</w:t>
      </w:r>
      <w:r w:rsidR="00690BEB">
        <w:t xml:space="preserve"> </w:t>
      </w:r>
      <w:r w:rsidR="00B216BA">
        <w:t>;</w:t>
      </w:r>
    </w:p>
    <w:p w14:paraId="48AE7140" w14:textId="22C6520E"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f</w:t>
      </w:r>
      <w:r w:rsidRPr="004643FD">
        <w:rPr>
          <w:color w:val="000000" w:themeColor="text1"/>
        </w:rPr>
        <w:t>)</w:t>
      </w:r>
      <w:r w:rsidRPr="004643FD">
        <w:rPr>
          <w:color w:val="000000" w:themeColor="text1"/>
        </w:rPr>
        <w:tab/>
      </w:r>
      <w:r w:rsidRPr="004643FD">
        <w:rPr>
          <w:rFonts w:asciiTheme="majorBidi" w:hAnsiTheme="majorBidi"/>
          <w:color w:val="000000" w:themeColor="text1"/>
        </w:rPr>
        <w:t>⁠</w:t>
      </w:r>
      <w:r w:rsidR="008A41D3" w:rsidRPr="008A41D3">
        <w:t xml:space="preserve"> </w:t>
      </w:r>
      <w:r w:rsidR="008A41D3">
        <w:t>Gouvernanc</w:t>
      </w:r>
      <w:r w:rsidR="00B216BA">
        <w:t>e, y compris la composition du c</w:t>
      </w:r>
      <w:r w:rsidR="008A41D3">
        <w:t>onseil</w:t>
      </w:r>
      <w:r w:rsidR="00B216BA">
        <w:t xml:space="preserve"> d</w:t>
      </w:r>
      <w:r w:rsidR="0059442D">
        <w:t>’</w:t>
      </w:r>
      <w:r w:rsidR="00B216BA">
        <w:t>administration</w:t>
      </w:r>
      <w:r w:rsidR="008A41D3">
        <w:t xml:space="preserve"> et les dispositions relatives au</w:t>
      </w:r>
      <w:r w:rsidR="00B216BA">
        <w:t>x</w:t>
      </w:r>
      <w:r w:rsidR="008A41D3">
        <w:t xml:space="preserve"> fiduciaire</w:t>
      </w:r>
      <w:r w:rsidR="00B216BA">
        <w:t>s</w:t>
      </w:r>
      <w:r w:rsidR="00690BEB">
        <w:t xml:space="preserve"> </w:t>
      </w:r>
      <w:r w:rsidR="00B216BA">
        <w:t>;</w:t>
      </w:r>
    </w:p>
    <w:p w14:paraId="673B8D13" w14:textId="46463EFC"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g</w:t>
      </w:r>
      <w:r w:rsidRPr="004643FD">
        <w:rPr>
          <w:color w:val="000000" w:themeColor="text1"/>
        </w:rPr>
        <w:t>)</w:t>
      </w:r>
      <w:r w:rsidRPr="004643FD">
        <w:rPr>
          <w:color w:val="000000" w:themeColor="text1"/>
        </w:rPr>
        <w:tab/>
      </w:r>
      <w:r w:rsidR="008A41D3">
        <w:t>Relation entre l</w:t>
      </w:r>
      <w:r w:rsidR="0059442D">
        <w:t>’</w:t>
      </w:r>
      <w:r w:rsidR="008A41D3">
        <w:t>organe directeur du fonds et la Conférence des Parties de l</w:t>
      </w:r>
      <w:r w:rsidR="0059442D">
        <w:t>’</w:t>
      </w:r>
      <w:r w:rsidR="008A41D3">
        <w:t>accord multilatéral sur l</w:t>
      </w:r>
      <w:r w:rsidR="0059442D">
        <w:t>’</w:t>
      </w:r>
      <w:r w:rsidR="008A41D3">
        <w:t>environnement concerné</w:t>
      </w:r>
      <w:r w:rsidR="00690BEB">
        <w:t xml:space="preserve"> </w:t>
      </w:r>
      <w:r w:rsidR="00B216BA">
        <w:t>;</w:t>
      </w:r>
    </w:p>
    <w:p w14:paraId="729FF029" w14:textId="3C35B58C"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h</w:t>
      </w:r>
      <w:r w:rsidRPr="004643FD">
        <w:rPr>
          <w:color w:val="000000" w:themeColor="text1"/>
        </w:rPr>
        <w:t>)</w:t>
      </w:r>
      <w:r w:rsidRPr="004643FD">
        <w:rPr>
          <w:color w:val="000000" w:themeColor="text1"/>
        </w:rPr>
        <w:tab/>
      </w:r>
      <w:r w:rsidRPr="004643FD">
        <w:rPr>
          <w:rFonts w:asciiTheme="majorBidi" w:hAnsiTheme="majorBidi"/>
          <w:color w:val="000000" w:themeColor="text1"/>
        </w:rPr>
        <w:t>⁠</w:t>
      </w:r>
      <w:r w:rsidR="008A41D3">
        <w:t>Transparence, suivi, rapports et évaluation</w:t>
      </w:r>
      <w:r w:rsidR="00690BEB">
        <w:t xml:space="preserve"> </w:t>
      </w:r>
      <w:r w:rsidR="00B216BA">
        <w:rPr>
          <w:color w:val="000000" w:themeColor="text1"/>
        </w:rPr>
        <w:t>;</w:t>
      </w:r>
    </w:p>
    <w:p w14:paraId="7CCD4210" w14:textId="28DC43B1"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i</w:t>
      </w:r>
      <w:r w:rsidRPr="004643FD">
        <w:rPr>
          <w:color w:val="000000" w:themeColor="text1"/>
        </w:rPr>
        <w:t>)</w:t>
      </w:r>
      <w:r w:rsidRPr="004643FD">
        <w:rPr>
          <w:color w:val="000000" w:themeColor="text1"/>
        </w:rPr>
        <w:tab/>
      </w:r>
      <w:r w:rsidR="008A41D3">
        <w:t>Processus d</w:t>
      </w:r>
      <w:r w:rsidR="0059442D">
        <w:t>’</w:t>
      </w:r>
      <w:r w:rsidR="008A41D3">
        <w:t>accréditation et rôle des agences d</w:t>
      </w:r>
      <w:r w:rsidR="0059442D">
        <w:t>’</w:t>
      </w:r>
      <w:r w:rsidR="008A41D3">
        <w:t>exécution</w:t>
      </w:r>
      <w:r w:rsidR="00690BEB">
        <w:t xml:space="preserve"> </w:t>
      </w:r>
      <w:r w:rsidR="00B216BA">
        <w:rPr>
          <w:color w:val="000000" w:themeColor="text1"/>
        </w:rPr>
        <w:t>;</w:t>
      </w:r>
      <w:r w:rsidRPr="004643FD">
        <w:rPr>
          <w:rFonts w:asciiTheme="majorBidi" w:hAnsiTheme="majorBidi"/>
          <w:color w:val="000000" w:themeColor="text1"/>
        </w:rPr>
        <w:t xml:space="preserve"> </w:t>
      </w:r>
    </w:p>
    <w:p w14:paraId="696C52AD" w14:textId="0185B453" w:rsidR="001B1ED5" w:rsidRPr="004643FD" w:rsidRDefault="001B1ED5" w:rsidP="001B1ED5">
      <w:pPr>
        <w:pStyle w:val="CBDNormalNumber"/>
        <w:numPr>
          <w:ilvl w:val="0"/>
          <w:numId w:val="0"/>
        </w:numPr>
        <w:ind w:left="567" w:firstLine="567"/>
        <w:rPr>
          <w:rFonts w:asciiTheme="majorBidi" w:hAnsiTheme="majorBidi"/>
          <w:color w:val="000000" w:themeColor="text1"/>
        </w:rPr>
      </w:pPr>
      <w:r>
        <w:rPr>
          <w:color w:val="000000" w:themeColor="text1"/>
        </w:rPr>
        <w:t>j</w:t>
      </w:r>
      <w:r w:rsidRPr="004643FD">
        <w:rPr>
          <w:color w:val="000000" w:themeColor="text1"/>
        </w:rPr>
        <w:t>)</w:t>
      </w:r>
      <w:r w:rsidRPr="004643FD">
        <w:rPr>
          <w:color w:val="000000" w:themeColor="text1"/>
        </w:rPr>
        <w:tab/>
      </w:r>
      <w:r w:rsidR="008A41D3">
        <w:t>Efficacité des opérations en termes de coûts</w:t>
      </w:r>
      <w:r w:rsidR="00690BEB">
        <w:t xml:space="preserve"> </w:t>
      </w:r>
      <w:r w:rsidR="00B216BA">
        <w:t>;</w:t>
      </w:r>
    </w:p>
    <w:p w14:paraId="7BACA237" w14:textId="636853F8" w:rsidR="001B1ED5" w:rsidRPr="00784F6A" w:rsidRDefault="001B1ED5" w:rsidP="001B1ED5">
      <w:pPr>
        <w:tabs>
          <w:tab w:val="left" w:pos="2835"/>
          <w:tab w:val="left" w:pos="3402"/>
        </w:tabs>
        <w:spacing w:after="120"/>
        <w:ind w:left="567" w:firstLine="567"/>
      </w:pPr>
      <w:r>
        <w:rPr>
          <w:color w:val="000000" w:themeColor="text1"/>
        </w:rPr>
        <w:t>k</w:t>
      </w:r>
      <w:r w:rsidRPr="004643FD">
        <w:rPr>
          <w:color w:val="000000" w:themeColor="text1"/>
        </w:rPr>
        <w:t>)</w:t>
      </w:r>
      <w:r w:rsidRPr="004643FD">
        <w:rPr>
          <w:color w:val="000000" w:themeColor="text1"/>
        </w:rPr>
        <w:tab/>
      </w:r>
      <w:r w:rsidR="008A41D3">
        <w:t>Coût de la mise en place et du fonctionnement de l</w:t>
      </w:r>
      <w:r w:rsidR="0059442D">
        <w:t>’</w:t>
      </w:r>
      <w:r w:rsidR="008A41D3">
        <w:t>instrument financier</w:t>
      </w:r>
      <w:r w:rsidR="00E0330E">
        <w:rPr>
          <w:rFonts w:asciiTheme="majorBidi" w:hAnsiTheme="majorBidi"/>
          <w:color w:val="000000" w:themeColor="text1"/>
        </w:rPr>
        <w:t>.</w:t>
      </w:r>
    </w:p>
    <w:p w14:paraId="28D82359" w14:textId="77777777" w:rsidR="00EC1085" w:rsidRPr="00784F6A" w:rsidRDefault="00D41746" w:rsidP="00E9089D">
      <w:pPr>
        <w:pStyle w:val="CBDTitle"/>
        <w:jc w:val="center"/>
        <w:rPr>
          <w:b w:val="0"/>
          <w:bCs/>
        </w:rPr>
      </w:pPr>
      <w:r w:rsidRPr="00784F6A">
        <w:rPr>
          <w:b w:val="0"/>
          <w:bCs/>
        </w:rPr>
        <w:t>_______</w:t>
      </w:r>
    </w:p>
    <w:sectPr w:rsidR="00EC1085" w:rsidRPr="00784F6A" w:rsidSect="00875C09">
      <w:headerReference w:type="even" r:id="rId24"/>
      <w:headerReference w:type="default" r:id="rId25"/>
      <w:footerReference w:type="even" r:id="rId26"/>
      <w:footerReference w:type="defaul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6FF5" w14:textId="77777777" w:rsidR="00310DCF" w:rsidRPr="004B72F0" w:rsidRDefault="00310DCF" w:rsidP="00A96B21">
      <w:r w:rsidRPr="004B72F0">
        <w:separator/>
      </w:r>
    </w:p>
  </w:endnote>
  <w:endnote w:type="continuationSeparator" w:id="0">
    <w:p w14:paraId="583A49CC" w14:textId="77777777" w:rsidR="00310DCF" w:rsidRPr="004B72F0" w:rsidRDefault="00310DCF" w:rsidP="00A96B21">
      <w:r w:rsidRPr="004B72F0">
        <w:continuationSeparator/>
      </w:r>
    </w:p>
  </w:endnote>
  <w:endnote w:type="continuationNotice" w:id="1">
    <w:p w14:paraId="34F9787A" w14:textId="77777777" w:rsidR="00310DCF" w:rsidRPr="004B72F0" w:rsidRDefault="0031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3D97" w14:textId="77777777" w:rsidR="002B559C" w:rsidRPr="00875C09" w:rsidRDefault="00607233" w:rsidP="00875C09">
    <w:pPr>
      <w:pStyle w:val="Pieddepage"/>
    </w:pPr>
    <w:r>
      <w:fldChar w:fldCharType="begin"/>
    </w:r>
    <w:r w:rsidR="00875C09">
      <w:instrText xml:space="preserve"> PAGE </w:instrText>
    </w:r>
    <w:r>
      <w:fldChar w:fldCharType="separate"/>
    </w:r>
    <w:r w:rsidR="00265B46">
      <w:rPr>
        <w:noProof/>
      </w:rPr>
      <w:t>16</w:t>
    </w:r>
    <w:r>
      <w:fldChar w:fldCharType="end"/>
    </w:r>
    <w:r w:rsidR="00875C09">
      <w:t>/</w:t>
    </w:r>
    <w:fldSimple w:instr=" NUMPAGES \* MERGEFORMAT ">
      <w:r w:rsidR="00265B46">
        <w:rPr>
          <w:noProof/>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EC3A" w14:textId="77777777" w:rsidR="002B559C" w:rsidRPr="00875C09" w:rsidRDefault="00607233" w:rsidP="00875C09">
    <w:pPr>
      <w:pStyle w:val="CBDFooter"/>
      <w:jc w:val="right"/>
    </w:pPr>
    <w:r>
      <w:fldChar w:fldCharType="begin"/>
    </w:r>
    <w:r w:rsidR="00875C09">
      <w:instrText xml:space="preserve"> PAGE \* MERGEFORMAT </w:instrText>
    </w:r>
    <w:r>
      <w:fldChar w:fldCharType="separate"/>
    </w:r>
    <w:r w:rsidR="00E0330E">
      <w:rPr>
        <w:noProof/>
      </w:rPr>
      <w:t>17</w:t>
    </w:r>
    <w:r>
      <w:fldChar w:fldCharType="end"/>
    </w:r>
    <w:r w:rsidR="00875C09">
      <w:t>/</w:t>
    </w:r>
    <w:fldSimple w:instr=" NUMPAGES \* MERGEFORMAT ">
      <w:r w:rsidR="00E0330E">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F438" w14:textId="77777777" w:rsidR="00310DCF" w:rsidRPr="004B72F0" w:rsidRDefault="00310DCF" w:rsidP="00A96B21">
      <w:r w:rsidRPr="004B72F0">
        <w:separator/>
      </w:r>
    </w:p>
  </w:footnote>
  <w:footnote w:type="continuationSeparator" w:id="0">
    <w:p w14:paraId="5E9835F8" w14:textId="77777777" w:rsidR="00310DCF" w:rsidRPr="004B72F0" w:rsidRDefault="00310DCF" w:rsidP="00A96B21">
      <w:r w:rsidRPr="004B72F0">
        <w:continuationSeparator/>
      </w:r>
    </w:p>
  </w:footnote>
  <w:footnote w:type="continuationNotice" w:id="1">
    <w:p w14:paraId="1A6A3FBD" w14:textId="77777777" w:rsidR="00310DCF" w:rsidRPr="004B72F0" w:rsidRDefault="00310DCF"/>
  </w:footnote>
  <w:footnote w:id="2">
    <w:p w14:paraId="0205F65C" w14:textId="77777777" w:rsidR="009A506F" w:rsidRPr="00F91817" w:rsidRDefault="009A506F" w:rsidP="009A506F">
      <w:pPr>
        <w:pStyle w:val="Notedebasdepage"/>
      </w:pPr>
      <w:r w:rsidRPr="00F91817">
        <w:rPr>
          <w:rStyle w:val="Appelnotedebasdep"/>
          <w:szCs w:val="18"/>
        </w:rPr>
        <w:footnoteRef/>
      </w:r>
      <w:r w:rsidRPr="00F91817">
        <w:t xml:space="preserve"> Nations Unies, </w:t>
      </w:r>
      <w:r w:rsidRPr="00F91817">
        <w:rPr>
          <w:i/>
          <w:iCs/>
          <w:szCs w:val="18"/>
        </w:rPr>
        <w:t>Recueil des Traités</w:t>
      </w:r>
      <w:r w:rsidRPr="00F91817">
        <w:t>, vol.</w:t>
      </w:r>
      <w:r w:rsidR="006742A9" w:rsidRPr="00F91817">
        <w:t> </w:t>
      </w:r>
      <w:r w:rsidRPr="00F91817">
        <w:t>1760, n</w:t>
      </w:r>
      <w:r w:rsidRPr="00F91817">
        <w:rPr>
          <w:vertAlign w:val="superscript"/>
        </w:rPr>
        <w:t>o</w:t>
      </w:r>
      <w:r w:rsidR="006742A9" w:rsidRPr="00F91817">
        <w:t> </w:t>
      </w:r>
      <w:r w:rsidRPr="00F91817">
        <w:t>30619.</w:t>
      </w:r>
    </w:p>
  </w:footnote>
  <w:footnote w:id="3">
    <w:p w14:paraId="39C8C94A" w14:textId="77777777" w:rsidR="009A506F" w:rsidRPr="00F91817" w:rsidRDefault="009A506F" w:rsidP="009A506F">
      <w:pPr>
        <w:pStyle w:val="Notedebasdepage"/>
        <w:rPr>
          <w:szCs w:val="18"/>
        </w:rPr>
      </w:pPr>
      <w:r w:rsidRPr="00F91817">
        <w:rPr>
          <w:rStyle w:val="Appelnotedebasdep"/>
          <w:szCs w:val="18"/>
        </w:rPr>
        <w:footnoteRef/>
      </w:r>
      <w:r w:rsidRPr="00F91817">
        <w:t xml:space="preserve"> Annexe </w:t>
      </w:r>
      <w:r w:rsidR="00AF00DE" w:rsidRPr="00F91817">
        <w:t>à</w:t>
      </w:r>
      <w:r w:rsidRPr="00F91817">
        <w:t xml:space="preserve"> la décision</w:t>
      </w:r>
      <w:r w:rsidR="006742A9" w:rsidRPr="00F91817">
        <w:t> </w:t>
      </w:r>
      <w:hyperlink r:id="rId1" w:history="1">
        <w:r w:rsidRPr="00F91817">
          <w:rPr>
            <w:rStyle w:val="Lienhypertexte"/>
          </w:rPr>
          <w:t>II</w:t>
        </w:r>
        <w:r w:rsidRPr="00F91817">
          <w:rPr>
            <w:rStyle w:val="Lienhypertexte"/>
          </w:rPr>
          <w:t>I</w:t>
        </w:r>
        <w:r w:rsidRPr="00F91817">
          <w:rPr>
            <w:rStyle w:val="Lienhypertexte"/>
          </w:rPr>
          <w:t>/8</w:t>
        </w:r>
      </w:hyperlink>
      <w:r w:rsidRPr="00F91817">
        <w:t>.</w:t>
      </w:r>
    </w:p>
  </w:footnote>
  <w:footnote w:id="4">
    <w:p w14:paraId="66DEF99E" w14:textId="77777777" w:rsidR="009A506F" w:rsidRPr="00F91817" w:rsidRDefault="009A506F" w:rsidP="009A506F">
      <w:pPr>
        <w:pStyle w:val="Notedebasdepage"/>
        <w:rPr>
          <w:szCs w:val="18"/>
        </w:rPr>
      </w:pPr>
      <w:r w:rsidRPr="00F91817">
        <w:rPr>
          <w:rStyle w:val="Appelnotedebasdep"/>
          <w:szCs w:val="18"/>
        </w:rPr>
        <w:footnoteRef/>
      </w:r>
      <w:r w:rsidRPr="00F91817">
        <w:t xml:space="preserve"> Annexe</w:t>
      </w:r>
      <w:r w:rsidR="006742A9" w:rsidRPr="00F91817">
        <w:t> </w:t>
      </w:r>
      <w:r w:rsidRPr="00F91817">
        <w:t xml:space="preserve">III </w:t>
      </w:r>
      <w:r w:rsidR="00AF00DE" w:rsidRPr="00F91817">
        <w:t>à</w:t>
      </w:r>
      <w:r w:rsidRPr="00F91817">
        <w:t xml:space="preserve"> la décision</w:t>
      </w:r>
      <w:r w:rsidR="006742A9" w:rsidRPr="00F91817">
        <w:t> </w:t>
      </w:r>
      <w:hyperlink r:id="rId2" w:history="1">
        <w:r w:rsidRPr="00F91817">
          <w:rPr>
            <w:rStyle w:val="Lienhypertexte"/>
          </w:rPr>
          <w:t>1</w:t>
        </w:r>
        <w:r w:rsidRPr="00F91817">
          <w:rPr>
            <w:rStyle w:val="Lienhypertexte"/>
          </w:rPr>
          <w:t>5</w:t>
        </w:r>
        <w:r w:rsidRPr="00F91817">
          <w:rPr>
            <w:rStyle w:val="Lienhypertexte"/>
          </w:rPr>
          <w:t>/5</w:t>
        </w:r>
      </w:hyperlink>
      <w:r w:rsidRPr="00F91817">
        <w:t>.</w:t>
      </w:r>
    </w:p>
  </w:footnote>
  <w:footnote w:id="5">
    <w:p w14:paraId="131B1C29" w14:textId="77777777" w:rsidR="007553E5" w:rsidRPr="00F91817" w:rsidRDefault="007553E5" w:rsidP="007553E5">
      <w:pPr>
        <w:pStyle w:val="Notedebasdepage"/>
      </w:pPr>
      <w:r w:rsidRPr="00F91817">
        <w:rPr>
          <w:rStyle w:val="Appelnotedebasdep"/>
        </w:rPr>
        <w:footnoteRef/>
      </w:r>
      <w:r w:rsidRPr="00F91817">
        <w:t xml:space="preserve"> Annexe à la décision</w:t>
      </w:r>
      <w:r w:rsidR="00436638" w:rsidRPr="00F91817">
        <w:t> </w:t>
      </w:r>
      <w:hyperlink r:id="rId3" w:history="1">
        <w:r w:rsidRPr="00F91817">
          <w:rPr>
            <w:rStyle w:val="Lienhypertexte"/>
          </w:rPr>
          <w:t>15/4</w:t>
        </w:r>
      </w:hyperlink>
      <w:r w:rsidRPr="00F91817">
        <w:t>.</w:t>
      </w:r>
    </w:p>
  </w:footnote>
  <w:footnote w:id="6">
    <w:p w14:paraId="12140ABE" w14:textId="77777777" w:rsidR="009A506F" w:rsidRPr="00F91817" w:rsidRDefault="009A506F" w:rsidP="009A506F">
      <w:pPr>
        <w:pStyle w:val="Notedebasdepage"/>
        <w:rPr>
          <w:szCs w:val="18"/>
        </w:rPr>
      </w:pPr>
      <w:r w:rsidRPr="00F91817">
        <w:rPr>
          <w:rStyle w:val="Appelnotedebasdep"/>
          <w:szCs w:val="18"/>
        </w:rPr>
        <w:footnoteRef/>
      </w:r>
      <w:r w:rsidRPr="00F91817">
        <w:t xml:space="preserve"> Nations Unies, </w:t>
      </w:r>
      <w:r w:rsidRPr="00F91817">
        <w:rPr>
          <w:i/>
        </w:rPr>
        <w:t>Recueil des Traités</w:t>
      </w:r>
      <w:r w:rsidRPr="00F91817">
        <w:t>, vol.</w:t>
      </w:r>
      <w:r w:rsidR="006742A9" w:rsidRPr="00F91817">
        <w:t> </w:t>
      </w:r>
      <w:r w:rsidRPr="00F91817">
        <w:t>2226, n</w:t>
      </w:r>
      <w:r w:rsidRPr="00F91817">
        <w:rPr>
          <w:vertAlign w:val="superscript"/>
        </w:rPr>
        <w:t>o</w:t>
      </w:r>
      <w:r w:rsidR="006742A9" w:rsidRPr="00F91817">
        <w:t> </w:t>
      </w:r>
      <w:r w:rsidRPr="00F91817">
        <w:t>30619.</w:t>
      </w:r>
    </w:p>
  </w:footnote>
  <w:footnote w:id="7">
    <w:p w14:paraId="25ECD731" w14:textId="77777777" w:rsidR="00176579" w:rsidRPr="00F91817" w:rsidRDefault="00176579" w:rsidP="00176579">
      <w:pPr>
        <w:pStyle w:val="Notedebasdepage"/>
      </w:pPr>
      <w:r w:rsidRPr="00F91817">
        <w:rPr>
          <w:rStyle w:val="Appelnotedebasdep"/>
        </w:rPr>
        <w:footnoteRef/>
      </w:r>
      <w:r w:rsidRPr="00F91817">
        <w:t xml:space="preserve"> </w:t>
      </w:r>
      <w:r w:rsidR="00656D3B" w:rsidRPr="00F91817">
        <w:t>Ibid</w:t>
      </w:r>
      <w:r w:rsidR="004D6ED3" w:rsidRPr="00F91817">
        <w:t>, vol.</w:t>
      </w:r>
      <w:r w:rsidR="00436638" w:rsidRPr="00F91817">
        <w:t> </w:t>
      </w:r>
      <w:r w:rsidR="004D6ED3" w:rsidRPr="00F91817">
        <w:t>3008, n°</w:t>
      </w:r>
      <w:r w:rsidR="00436638" w:rsidRPr="00F91817">
        <w:t> </w:t>
      </w:r>
      <w:r w:rsidR="004D6ED3" w:rsidRPr="00F91817">
        <w:t>30619</w:t>
      </w:r>
      <w:r w:rsidRPr="00F91817">
        <w:t>.</w:t>
      </w:r>
    </w:p>
  </w:footnote>
  <w:footnote w:id="8">
    <w:p w14:paraId="0A08472C" w14:textId="77777777" w:rsidR="002B3C88" w:rsidRPr="00F91817" w:rsidRDefault="002B3C88" w:rsidP="002B3C88">
      <w:pPr>
        <w:pStyle w:val="Notedebasdepage"/>
        <w:rPr>
          <w:szCs w:val="18"/>
        </w:rPr>
      </w:pPr>
      <w:r w:rsidRPr="00F91817">
        <w:rPr>
          <w:rStyle w:val="Appelnotedebasdep"/>
          <w:szCs w:val="18"/>
        </w:rPr>
        <w:footnoteRef/>
      </w:r>
      <w:r w:rsidRPr="00F91817">
        <w:t xml:space="preserve"> </w:t>
      </w:r>
      <w:hyperlink r:id="rId4" w:history="1">
        <w:r w:rsidR="005938BF" w:rsidRPr="00F91817">
          <w:rPr>
            <w:rStyle w:val="Lienhypertexte"/>
            <w:rFonts w:asciiTheme="majorBidi" w:eastAsia="MS Mincho" w:hAnsiTheme="majorBidi" w:cstheme="majorBidi"/>
            <w:kern w:val="22"/>
            <w:szCs w:val="18"/>
          </w:rPr>
          <w:t>CBD/COP/16/8/Rev.1</w:t>
        </w:r>
      </w:hyperlink>
      <w:r w:rsidRPr="00F91817">
        <w:t>.</w:t>
      </w:r>
    </w:p>
  </w:footnote>
  <w:footnote w:id="9">
    <w:p w14:paraId="7A9F2AB0" w14:textId="77777777" w:rsidR="002B3C88" w:rsidRPr="00F91817" w:rsidRDefault="002B3C88" w:rsidP="002B3C88">
      <w:pPr>
        <w:pStyle w:val="Notedebasdepage"/>
        <w:rPr>
          <w:szCs w:val="18"/>
        </w:rPr>
      </w:pPr>
      <w:r w:rsidRPr="00F91817">
        <w:rPr>
          <w:rStyle w:val="Appelnotedebasdep"/>
          <w:szCs w:val="18"/>
        </w:rPr>
        <w:footnoteRef/>
      </w:r>
      <w:r w:rsidRPr="00F91817">
        <w:t xml:space="preserve"> </w:t>
      </w:r>
      <w:hyperlink r:id="rId5" w:history="1">
        <w:r w:rsidRPr="00F91817">
          <w:rPr>
            <w:rStyle w:val="Lienhypertexte"/>
            <w:rFonts w:asciiTheme="majorBidi" w:hAnsiTheme="majorBidi"/>
            <w:szCs w:val="18"/>
          </w:rPr>
          <w:t>CBD/COP/16/</w:t>
        </w:r>
        <w:r w:rsidR="00D41440" w:rsidRPr="00F91817">
          <w:rPr>
            <w:rStyle w:val="Lienhypertexte"/>
            <w:rFonts w:asciiTheme="majorBidi" w:eastAsia="Yu Mincho" w:hAnsiTheme="majorBidi"/>
            <w:szCs w:val="18"/>
            <w:lang w:eastAsia="ja-JP"/>
          </w:rPr>
          <w:t>7</w:t>
        </w:r>
      </w:hyperlink>
      <w:r w:rsidR="00D41440" w:rsidRPr="00F91817">
        <w:rPr>
          <w:rFonts w:asciiTheme="majorBidi" w:eastAsia="Yu Mincho" w:hAnsiTheme="majorBidi"/>
          <w:color w:val="000000"/>
          <w:szCs w:val="18"/>
          <w:lang w:eastAsia="ja-JP"/>
        </w:rPr>
        <w:t xml:space="preserve">. </w:t>
      </w:r>
      <w:r w:rsidR="00656D3B" w:rsidRPr="00F91817">
        <w:rPr>
          <w:rFonts w:asciiTheme="majorBidi" w:eastAsia="Yu Mincho" w:hAnsiTheme="majorBidi"/>
          <w:color w:val="000000"/>
          <w:szCs w:val="18"/>
          <w:lang w:eastAsia="ja-JP"/>
        </w:rPr>
        <w:t>Voir aussi</w:t>
      </w:r>
      <w:r w:rsidR="00D41440" w:rsidRPr="00F91817">
        <w:rPr>
          <w:rFonts w:asciiTheme="majorBidi" w:eastAsia="Yu Mincho" w:hAnsiTheme="majorBidi"/>
          <w:color w:val="000000"/>
          <w:szCs w:val="18"/>
          <w:lang w:eastAsia="ja-JP"/>
        </w:rPr>
        <w:t xml:space="preserve"> </w:t>
      </w:r>
      <w:hyperlink r:id="rId6" w:history="1">
        <w:r w:rsidR="00D41440" w:rsidRPr="00F91817">
          <w:rPr>
            <w:rStyle w:val="Lienhypertexte"/>
            <w:rFonts w:asciiTheme="majorBidi" w:eastAsia="MS Mincho" w:hAnsiTheme="majorBidi" w:cstheme="majorBidi"/>
            <w:kern w:val="22"/>
            <w:szCs w:val="18"/>
          </w:rPr>
          <w:t>CBD/COP/16/INF/25</w:t>
        </w:r>
      </w:hyperlink>
      <w:r w:rsidR="00D41440" w:rsidRPr="00F91817">
        <w:rPr>
          <w:rFonts w:asciiTheme="majorBidi" w:eastAsia="MS Mincho" w:hAnsiTheme="majorBidi" w:cstheme="majorBidi"/>
          <w:color w:val="000000"/>
          <w:kern w:val="22"/>
          <w:szCs w:val="18"/>
        </w:rPr>
        <w:t>.</w:t>
      </w:r>
    </w:p>
  </w:footnote>
  <w:footnote w:id="10">
    <w:p w14:paraId="47359B9F" w14:textId="77777777" w:rsidR="009A506F" w:rsidRPr="00F91817" w:rsidRDefault="009A506F" w:rsidP="009A506F">
      <w:pPr>
        <w:pStyle w:val="Notedebasdepage"/>
        <w:rPr>
          <w:szCs w:val="18"/>
        </w:rPr>
      </w:pPr>
      <w:r w:rsidRPr="00F91817">
        <w:rPr>
          <w:rStyle w:val="Appelnotedebasdep"/>
          <w:szCs w:val="18"/>
        </w:rPr>
        <w:footnoteRef/>
      </w:r>
      <w:r w:rsidRPr="00F91817">
        <w:t xml:space="preserve"> Annexe à la décision</w:t>
      </w:r>
      <w:r w:rsidR="006742A9" w:rsidRPr="00F91817">
        <w:t> </w:t>
      </w:r>
      <w:hyperlink r:id="rId7" w:history="1">
        <w:r w:rsidR="005938BF" w:rsidRPr="00F91817">
          <w:rPr>
            <w:rStyle w:val="Lienhypertexte"/>
            <w:szCs w:val="18"/>
          </w:rPr>
          <w:t>CP-1</w:t>
        </w:r>
        <w:r w:rsidR="005938BF" w:rsidRPr="00F91817">
          <w:rPr>
            <w:rStyle w:val="Lienhypertexte"/>
            <w:szCs w:val="18"/>
          </w:rPr>
          <w:t>0</w:t>
        </w:r>
        <w:r w:rsidR="005938BF" w:rsidRPr="00F91817">
          <w:rPr>
            <w:rStyle w:val="Lienhypertexte"/>
            <w:szCs w:val="18"/>
          </w:rPr>
          <w:t>/3</w:t>
        </w:r>
      </w:hyperlink>
      <w:r w:rsidR="00FA5EAF" w:rsidRPr="00F91817">
        <w:rPr>
          <w:szCs w:val="18"/>
        </w:rPr>
        <w:t>.</w:t>
      </w:r>
    </w:p>
  </w:footnote>
  <w:footnote w:id="11">
    <w:p w14:paraId="6E9FFC00" w14:textId="77777777" w:rsidR="009A506F" w:rsidRPr="00F91817" w:rsidRDefault="009A506F" w:rsidP="009A506F">
      <w:pPr>
        <w:pStyle w:val="Notedebasdepage"/>
        <w:rPr>
          <w:szCs w:val="18"/>
        </w:rPr>
      </w:pPr>
      <w:r w:rsidRPr="00F91817">
        <w:rPr>
          <w:rStyle w:val="Appelnotedebasdep"/>
          <w:szCs w:val="18"/>
        </w:rPr>
        <w:footnoteRef/>
      </w:r>
      <w:r w:rsidRPr="00F91817">
        <w:t xml:space="preserve"> Annexe à la décision</w:t>
      </w:r>
      <w:r w:rsidR="006742A9" w:rsidRPr="00F91817">
        <w:t> </w:t>
      </w:r>
      <w:hyperlink r:id="rId8" w:history="1">
        <w:r w:rsidR="005938BF" w:rsidRPr="00F91817">
          <w:rPr>
            <w:rStyle w:val="Lienhypertexte"/>
            <w:szCs w:val="18"/>
          </w:rPr>
          <w:t>CP-10/4</w:t>
        </w:r>
      </w:hyperlink>
      <w:r w:rsidRPr="00F91817">
        <w:t>.</w:t>
      </w:r>
    </w:p>
  </w:footnote>
  <w:footnote w:id="12">
    <w:p w14:paraId="0A9372A8" w14:textId="77777777" w:rsidR="00371A7F" w:rsidRPr="00F91817" w:rsidRDefault="00371A7F" w:rsidP="00371A7F">
      <w:pPr>
        <w:pStyle w:val="Notedebasdepage"/>
      </w:pPr>
      <w:r w:rsidRPr="00F91817">
        <w:rPr>
          <w:rStyle w:val="Appelnotedebasdep"/>
        </w:rPr>
        <w:footnoteRef/>
      </w:r>
      <w:r w:rsidRPr="00F91817">
        <w:t xml:space="preserve"> </w:t>
      </w:r>
      <w:r w:rsidR="000E6F7E" w:rsidRPr="00F91817">
        <w:t>Voir les contributions à l</w:t>
      </w:r>
      <w:r w:rsidR="0059442D">
        <w:t>’</w:t>
      </w:r>
      <w:r w:rsidR="000E6F7E" w:rsidRPr="00F91817">
        <w:t xml:space="preserve">adresse suivante : </w:t>
      </w:r>
      <w:hyperlink r:id="rId9" w:history="1">
        <w:r w:rsidR="000E6F7E" w:rsidRPr="00F91817">
          <w:rPr>
            <w:rStyle w:val="Lienhypertexte"/>
          </w:rPr>
          <w:t>https://fiftrustee.worldbank.org/en/about/unit/dfi/fiftrustee/fund-detail/gbff</w:t>
        </w:r>
      </w:hyperlink>
      <w:r w:rsidR="000E6F7E" w:rsidRPr="00F91817">
        <w:t>.</w:t>
      </w:r>
    </w:p>
  </w:footnote>
  <w:footnote w:id="13">
    <w:p w14:paraId="55A244A9" w14:textId="77777777" w:rsidR="00B14B10" w:rsidRPr="00F91817" w:rsidRDefault="00B14B10" w:rsidP="00B14B10">
      <w:pPr>
        <w:pStyle w:val="Notedebasdepage"/>
      </w:pPr>
      <w:r w:rsidRPr="00F91817">
        <w:rPr>
          <w:rStyle w:val="Appelnotedebasdep"/>
        </w:rPr>
        <w:footnoteRef/>
      </w:r>
      <w:r w:rsidRPr="00F91817">
        <w:t xml:space="preserve"> </w:t>
      </w:r>
      <w:r w:rsidR="00726C1C" w:rsidRPr="00F91817">
        <w:t>Voir la communication de l</w:t>
      </w:r>
      <w:r w:rsidR="0059442D">
        <w:t>’</w:t>
      </w:r>
      <w:r w:rsidR="00726C1C" w:rsidRPr="00F91817">
        <w:t>État plurinational de Bolivie, disponible à l</w:t>
      </w:r>
      <w:r w:rsidR="0059442D">
        <w:t>’</w:t>
      </w:r>
      <w:r w:rsidR="00726C1C" w:rsidRPr="00F91817">
        <w:t>adresse suivante :</w:t>
      </w:r>
      <w:r w:rsidRPr="00F91817">
        <w:t xml:space="preserve"> </w:t>
      </w:r>
      <w:hyperlink r:id="rId10" w:history="1">
        <w:r w:rsidRPr="00F91817">
          <w:rPr>
            <w:rStyle w:val="Lienhypertexte"/>
          </w:rPr>
          <w:t>www.cbd.int/doc/interventions/6717c9819a0ecc27c502d552/GEF%20Financial%20Mechanism.docx</w:t>
        </w:r>
      </w:hyperlink>
      <w:r w:rsidRPr="00F91817">
        <w:t xml:space="preserve">. </w:t>
      </w:r>
    </w:p>
  </w:footnote>
  <w:footnote w:id="14">
    <w:p w14:paraId="4D30F8FC" w14:textId="77777777" w:rsidR="00C37C95" w:rsidRPr="00F91817" w:rsidRDefault="00C37C95" w:rsidP="00C37C95">
      <w:pPr>
        <w:pStyle w:val="Notedebasdepage"/>
        <w:rPr>
          <w:szCs w:val="18"/>
        </w:rPr>
      </w:pPr>
      <w:r w:rsidRPr="00F91817">
        <w:rPr>
          <w:rStyle w:val="Appelnotedebasdep"/>
          <w:szCs w:val="18"/>
        </w:rPr>
        <w:footnoteRef/>
      </w:r>
      <w:r w:rsidRPr="00F91817">
        <w:t xml:space="preserve"> Nations Unies, </w:t>
      </w:r>
      <w:r w:rsidRPr="00F91817">
        <w:rPr>
          <w:i/>
        </w:rPr>
        <w:t>Recueil des Traités</w:t>
      </w:r>
      <w:r w:rsidRPr="00F91817">
        <w:t>, vol. 1760, n</w:t>
      </w:r>
      <w:r w:rsidRPr="00F91817">
        <w:rPr>
          <w:vertAlign w:val="superscript"/>
        </w:rPr>
        <w:t>o</w:t>
      </w:r>
      <w:r w:rsidRPr="00F91817">
        <w:t> 30619.</w:t>
      </w:r>
    </w:p>
  </w:footnote>
  <w:footnote w:id="15">
    <w:p w14:paraId="6ACCC378"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 xml:space="preserve">Décision </w:t>
      </w:r>
      <w:hyperlink r:id="rId11" w:history="1">
        <w:r w:rsidRPr="00F91817">
          <w:rPr>
            <w:rStyle w:val="Lienhypertexte"/>
            <w:szCs w:val="18"/>
          </w:rPr>
          <w:t>III/8</w:t>
        </w:r>
      </w:hyperlink>
      <w:r w:rsidRPr="00F91817">
        <w:rPr>
          <w:szCs w:val="18"/>
        </w:rPr>
        <w:t xml:space="preserve">, </w:t>
      </w:r>
      <w:r w:rsidR="004F440F" w:rsidRPr="00F91817">
        <w:rPr>
          <w:szCs w:val="18"/>
        </w:rPr>
        <w:t>annexe.</w:t>
      </w:r>
    </w:p>
  </w:footnote>
  <w:footnote w:id="16">
    <w:p w14:paraId="4C73D053" w14:textId="77777777" w:rsidR="00C37C95" w:rsidRPr="00F91817" w:rsidRDefault="00C37C95" w:rsidP="00C37C95">
      <w:pPr>
        <w:pStyle w:val="Notedebasdepage"/>
      </w:pPr>
      <w:r w:rsidRPr="00F91817">
        <w:rPr>
          <w:rStyle w:val="Appelnotedebasdep"/>
        </w:rPr>
        <w:footnoteRef/>
      </w:r>
      <w:r w:rsidRPr="00F91817">
        <w:t xml:space="preserve"> </w:t>
      </w:r>
      <w:r w:rsidR="00A00EFF" w:rsidRPr="00F91817">
        <w:t>Décision</w:t>
      </w:r>
      <w:r w:rsidR="00436638" w:rsidRPr="00F91817">
        <w:t> </w:t>
      </w:r>
      <w:hyperlink r:id="rId12" w:history="1">
        <w:r w:rsidRPr="00F91817">
          <w:rPr>
            <w:rStyle w:val="Lienhypertexte"/>
          </w:rPr>
          <w:t>15/4</w:t>
        </w:r>
      </w:hyperlink>
      <w:r w:rsidRPr="00F91817">
        <w:t xml:space="preserve">, </w:t>
      </w:r>
      <w:r w:rsidR="004F440F" w:rsidRPr="00F91817">
        <w:t>annexe.</w:t>
      </w:r>
    </w:p>
  </w:footnote>
  <w:footnote w:id="17">
    <w:p w14:paraId="120BD20D" w14:textId="1C795119"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Décision</w:t>
      </w:r>
      <w:r w:rsidR="00436638" w:rsidRPr="00F91817">
        <w:rPr>
          <w:szCs w:val="18"/>
        </w:rPr>
        <w:t> </w:t>
      </w:r>
      <w:r w:rsidRPr="00F91817">
        <w:rPr>
          <w:szCs w:val="18"/>
        </w:rPr>
        <w:t>16/</w:t>
      </w:r>
      <w:r w:rsidR="00F47035">
        <w:rPr>
          <w:szCs w:val="18"/>
        </w:rPr>
        <w:t>34, annexe I</w:t>
      </w:r>
      <w:r w:rsidRPr="00F91817">
        <w:rPr>
          <w:szCs w:val="18"/>
        </w:rPr>
        <w:t>.</w:t>
      </w:r>
    </w:p>
  </w:footnote>
  <w:footnote w:id="18">
    <w:p w14:paraId="6A8604A7"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Décision</w:t>
      </w:r>
      <w:r w:rsidR="00436638" w:rsidRPr="00F91817">
        <w:rPr>
          <w:szCs w:val="18"/>
        </w:rPr>
        <w:t> </w:t>
      </w:r>
      <w:hyperlink r:id="rId13" w:history="1">
        <w:r w:rsidRPr="00F91817">
          <w:rPr>
            <w:rStyle w:val="Lienhypertexte"/>
            <w:szCs w:val="18"/>
          </w:rPr>
          <w:t>15/8</w:t>
        </w:r>
      </w:hyperlink>
      <w:r w:rsidRPr="00F91817">
        <w:rPr>
          <w:szCs w:val="18"/>
        </w:rPr>
        <w:t>, annex</w:t>
      </w:r>
      <w:r w:rsidR="004F440F" w:rsidRPr="00F91817">
        <w:rPr>
          <w:szCs w:val="18"/>
        </w:rPr>
        <w:t>e</w:t>
      </w:r>
      <w:r w:rsidRPr="00F91817">
        <w:rPr>
          <w:szCs w:val="18"/>
        </w:rPr>
        <w:t xml:space="preserve"> I.</w:t>
      </w:r>
    </w:p>
  </w:footnote>
  <w:footnote w:id="19">
    <w:p w14:paraId="326D62E5"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Décision</w:t>
      </w:r>
      <w:r w:rsidR="00436638" w:rsidRPr="00F91817">
        <w:rPr>
          <w:szCs w:val="18"/>
        </w:rPr>
        <w:t> </w:t>
      </w:r>
      <w:hyperlink r:id="rId14" w:history="1">
        <w:r w:rsidRPr="00F91817">
          <w:rPr>
            <w:rStyle w:val="Lienhypertexte"/>
            <w:szCs w:val="18"/>
          </w:rPr>
          <w:t>16/9 B</w:t>
        </w:r>
      </w:hyperlink>
      <w:r w:rsidRPr="00F91817">
        <w:rPr>
          <w:szCs w:val="18"/>
        </w:rPr>
        <w:t xml:space="preserve">, </w:t>
      </w:r>
      <w:r w:rsidR="004F440F" w:rsidRPr="00F91817">
        <w:rPr>
          <w:szCs w:val="18"/>
        </w:rPr>
        <w:t>annexe.</w:t>
      </w:r>
    </w:p>
  </w:footnote>
  <w:footnote w:id="20">
    <w:p w14:paraId="2977B812"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Décision</w:t>
      </w:r>
      <w:r w:rsidR="00436638" w:rsidRPr="00F91817">
        <w:rPr>
          <w:szCs w:val="18"/>
        </w:rPr>
        <w:t> </w:t>
      </w:r>
      <w:hyperlink r:id="rId15" w:history="1">
        <w:r w:rsidRPr="00F91817">
          <w:rPr>
            <w:rStyle w:val="Lienhypertexte"/>
            <w:szCs w:val="18"/>
          </w:rPr>
          <w:t>15/12</w:t>
        </w:r>
      </w:hyperlink>
      <w:r w:rsidRPr="00F91817">
        <w:rPr>
          <w:szCs w:val="18"/>
        </w:rPr>
        <w:t xml:space="preserve">, </w:t>
      </w:r>
      <w:r w:rsidR="004F440F" w:rsidRPr="00F91817">
        <w:rPr>
          <w:szCs w:val="18"/>
        </w:rPr>
        <w:t>annexe.</w:t>
      </w:r>
    </w:p>
  </w:footnote>
  <w:footnote w:id="21">
    <w:p w14:paraId="70DD4BF3"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Décision</w:t>
      </w:r>
      <w:r w:rsidR="00436638" w:rsidRPr="00F91817">
        <w:rPr>
          <w:szCs w:val="18"/>
        </w:rPr>
        <w:t> </w:t>
      </w:r>
      <w:hyperlink r:id="rId16" w:history="1">
        <w:r w:rsidRPr="00F91817">
          <w:rPr>
            <w:rStyle w:val="Lienhypertexte"/>
            <w:szCs w:val="18"/>
          </w:rPr>
          <w:t>15/11</w:t>
        </w:r>
      </w:hyperlink>
      <w:r w:rsidRPr="00F91817">
        <w:rPr>
          <w:szCs w:val="18"/>
        </w:rPr>
        <w:t xml:space="preserve">, </w:t>
      </w:r>
      <w:r w:rsidR="004F440F" w:rsidRPr="00F91817">
        <w:rPr>
          <w:szCs w:val="18"/>
        </w:rPr>
        <w:t>annexe.</w:t>
      </w:r>
    </w:p>
  </w:footnote>
  <w:footnote w:id="22">
    <w:p w14:paraId="74B79911"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 xml:space="preserve">Décision </w:t>
      </w:r>
      <w:hyperlink r:id="rId17" w:history="1">
        <w:r w:rsidRPr="00F91817">
          <w:rPr>
            <w:rStyle w:val="Lienhypertexte"/>
            <w:szCs w:val="18"/>
          </w:rPr>
          <w:t>16/19</w:t>
        </w:r>
      </w:hyperlink>
      <w:r w:rsidRPr="00F91817">
        <w:rPr>
          <w:szCs w:val="18"/>
        </w:rPr>
        <w:t>, annex</w:t>
      </w:r>
      <w:r w:rsidR="004F440F" w:rsidRPr="00F91817">
        <w:rPr>
          <w:szCs w:val="18"/>
        </w:rPr>
        <w:t>e</w:t>
      </w:r>
      <w:r w:rsidRPr="00F91817">
        <w:rPr>
          <w:szCs w:val="18"/>
        </w:rPr>
        <w:t xml:space="preserve"> I.</w:t>
      </w:r>
    </w:p>
  </w:footnote>
  <w:footnote w:id="23">
    <w:p w14:paraId="427821AE" w14:textId="4BB6380A"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D</w:t>
      </w:r>
      <w:r w:rsidR="004D6ED3" w:rsidRPr="00F91817">
        <w:rPr>
          <w:szCs w:val="18"/>
        </w:rPr>
        <w:t>é</w:t>
      </w:r>
      <w:r w:rsidRPr="00F91817">
        <w:rPr>
          <w:szCs w:val="18"/>
        </w:rPr>
        <w:t>cisions</w:t>
      </w:r>
      <w:r w:rsidR="00436638" w:rsidRPr="00F91817">
        <w:rPr>
          <w:szCs w:val="18"/>
        </w:rPr>
        <w:t> </w:t>
      </w:r>
      <w:hyperlink r:id="rId18" w:history="1">
        <w:r w:rsidRPr="00F91817">
          <w:rPr>
            <w:rStyle w:val="Lienhypertexte"/>
            <w:szCs w:val="18"/>
          </w:rPr>
          <w:t>15/5</w:t>
        </w:r>
      </w:hyperlink>
      <w:r w:rsidRPr="00F91817">
        <w:rPr>
          <w:szCs w:val="18"/>
        </w:rPr>
        <w:t xml:space="preserve"> </w:t>
      </w:r>
      <w:r w:rsidR="004D6ED3" w:rsidRPr="00F91817">
        <w:rPr>
          <w:szCs w:val="18"/>
        </w:rPr>
        <w:t>et</w:t>
      </w:r>
      <w:r w:rsidRPr="00F91817">
        <w:rPr>
          <w:szCs w:val="18"/>
        </w:rPr>
        <w:t xml:space="preserve"> 16/</w:t>
      </w:r>
      <w:r w:rsidR="00F47035">
        <w:rPr>
          <w:szCs w:val="18"/>
        </w:rPr>
        <w:t>31</w:t>
      </w:r>
      <w:r w:rsidRPr="00F91817">
        <w:rPr>
          <w:szCs w:val="18"/>
        </w:rPr>
        <w:t>.</w:t>
      </w:r>
    </w:p>
  </w:footnote>
  <w:footnote w:id="24">
    <w:p w14:paraId="15B0D778"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4D6ED3" w:rsidRPr="00F91817">
        <w:rPr>
          <w:szCs w:val="18"/>
        </w:rPr>
        <w:t>Voir</w:t>
      </w:r>
      <w:r w:rsidRPr="00F91817">
        <w:rPr>
          <w:szCs w:val="18"/>
        </w:rPr>
        <w:t xml:space="preserve"> d</w:t>
      </w:r>
      <w:r w:rsidR="004D6ED3" w:rsidRPr="00F91817">
        <w:rPr>
          <w:szCs w:val="18"/>
        </w:rPr>
        <w:t>é</w:t>
      </w:r>
      <w:r w:rsidRPr="00F91817">
        <w:rPr>
          <w:szCs w:val="18"/>
        </w:rPr>
        <w:t>cision</w:t>
      </w:r>
      <w:r w:rsidR="00436638" w:rsidRPr="00F91817">
        <w:rPr>
          <w:szCs w:val="18"/>
        </w:rPr>
        <w:t> </w:t>
      </w:r>
      <w:hyperlink r:id="rId19" w:history="1">
        <w:r w:rsidRPr="00F91817">
          <w:rPr>
            <w:rStyle w:val="Lienhypertexte"/>
            <w:szCs w:val="18"/>
          </w:rPr>
          <w:t>15/6</w:t>
        </w:r>
      </w:hyperlink>
      <w:r w:rsidRPr="00F91817">
        <w:rPr>
          <w:szCs w:val="18"/>
        </w:rPr>
        <w:t>.</w:t>
      </w:r>
    </w:p>
  </w:footnote>
  <w:footnote w:id="25">
    <w:p w14:paraId="3C46E678" w14:textId="77777777" w:rsidR="006C5D5F" w:rsidRPr="00F91817" w:rsidRDefault="006C5D5F" w:rsidP="006C5D5F">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 xml:space="preserve">Décision </w:t>
      </w:r>
      <w:hyperlink r:id="rId20" w:history="1">
        <w:r w:rsidRPr="00F91817">
          <w:rPr>
            <w:rStyle w:val="Lienhypertexte"/>
            <w:szCs w:val="18"/>
          </w:rPr>
          <w:t>CP-10/3</w:t>
        </w:r>
      </w:hyperlink>
      <w:r w:rsidRPr="00F91817">
        <w:rPr>
          <w:szCs w:val="18"/>
        </w:rPr>
        <w:t xml:space="preserve">, </w:t>
      </w:r>
      <w:r w:rsidR="004F440F" w:rsidRPr="00F91817">
        <w:rPr>
          <w:szCs w:val="18"/>
        </w:rPr>
        <w:t>annexe.</w:t>
      </w:r>
    </w:p>
  </w:footnote>
  <w:footnote w:id="26">
    <w:p w14:paraId="07045533" w14:textId="77777777" w:rsidR="006C5D5F" w:rsidRPr="00F91817" w:rsidRDefault="006C5D5F" w:rsidP="006C5D5F">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 xml:space="preserve">Décision </w:t>
      </w:r>
      <w:hyperlink r:id="rId21" w:history="1">
        <w:r w:rsidRPr="00F91817">
          <w:rPr>
            <w:rStyle w:val="Lienhypertexte"/>
            <w:szCs w:val="18"/>
          </w:rPr>
          <w:t>CP-10/4</w:t>
        </w:r>
      </w:hyperlink>
      <w:r w:rsidRPr="00F91817">
        <w:rPr>
          <w:szCs w:val="18"/>
        </w:rPr>
        <w:t xml:space="preserve">, </w:t>
      </w:r>
      <w:r w:rsidR="004F440F" w:rsidRPr="00F91817">
        <w:rPr>
          <w:szCs w:val="18"/>
        </w:rPr>
        <w:t>annexe.</w:t>
      </w:r>
    </w:p>
  </w:footnote>
  <w:footnote w:id="27">
    <w:p w14:paraId="4C454391" w14:textId="77777777" w:rsidR="006C5D5F" w:rsidRPr="00F91817" w:rsidRDefault="006C5D5F" w:rsidP="006C5D5F">
      <w:pPr>
        <w:pStyle w:val="Notedebasdepage"/>
        <w:rPr>
          <w:szCs w:val="18"/>
        </w:rPr>
      </w:pPr>
      <w:r w:rsidRPr="00F91817">
        <w:rPr>
          <w:rStyle w:val="Appelnotedebasdep"/>
          <w:szCs w:val="18"/>
        </w:rPr>
        <w:footnoteRef/>
      </w:r>
      <w:r w:rsidRPr="00F91817">
        <w:rPr>
          <w:szCs w:val="18"/>
        </w:rPr>
        <w:t xml:space="preserve"> </w:t>
      </w:r>
      <w:r w:rsidR="00925404" w:rsidRPr="00F91817">
        <w:rPr>
          <w:color w:val="000000"/>
          <w:szCs w:val="18"/>
        </w:rPr>
        <w:t xml:space="preserve">Nations Unies, </w:t>
      </w:r>
      <w:r w:rsidR="00925404" w:rsidRPr="00F91817">
        <w:rPr>
          <w:i/>
          <w:iCs/>
          <w:color w:val="000000"/>
          <w:szCs w:val="18"/>
        </w:rPr>
        <w:t>Recueil des Traités</w:t>
      </w:r>
      <w:r w:rsidR="00925404" w:rsidRPr="00F91817">
        <w:rPr>
          <w:color w:val="000000"/>
          <w:szCs w:val="18"/>
        </w:rPr>
        <w:t>, vol.</w:t>
      </w:r>
      <w:r w:rsidR="00436638" w:rsidRPr="00F91817">
        <w:rPr>
          <w:color w:val="000000"/>
          <w:szCs w:val="18"/>
        </w:rPr>
        <w:t> </w:t>
      </w:r>
      <w:r w:rsidR="00925404" w:rsidRPr="00F91817">
        <w:rPr>
          <w:color w:val="000000"/>
          <w:szCs w:val="18"/>
        </w:rPr>
        <w:t>2226, n°</w:t>
      </w:r>
      <w:r w:rsidR="00436638" w:rsidRPr="00F91817">
        <w:rPr>
          <w:color w:val="000000"/>
          <w:szCs w:val="18"/>
        </w:rPr>
        <w:t> </w:t>
      </w:r>
      <w:r w:rsidR="00925404" w:rsidRPr="00F91817">
        <w:rPr>
          <w:color w:val="000000"/>
          <w:szCs w:val="18"/>
        </w:rPr>
        <w:t>30619</w:t>
      </w:r>
      <w:r w:rsidRPr="00F91817">
        <w:rPr>
          <w:color w:val="000000"/>
          <w:szCs w:val="18"/>
        </w:rPr>
        <w:t>.</w:t>
      </w:r>
    </w:p>
  </w:footnote>
  <w:footnote w:id="28">
    <w:p w14:paraId="183DFACE" w14:textId="77777777" w:rsidR="006C5D5F" w:rsidRPr="00F91817" w:rsidRDefault="006C5D5F" w:rsidP="006C5D5F">
      <w:pPr>
        <w:pStyle w:val="Notedebasdepage"/>
        <w:rPr>
          <w:szCs w:val="18"/>
        </w:rPr>
      </w:pPr>
      <w:r w:rsidRPr="00F91817">
        <w:rPr>
          <w:rStyle w:val="Appelnotedebasdep"/>
          <w:szCs w:val="18"/>
        </w:rPr>
        <w:footnoteRef/>
      </w:r>
      <w:r w:rsidRPr="00F91817">
        <w:rPr>
          <w:szCs w:val="18"/>
        </w:rPr>
        <w:t xml:space="preserve"> </w:t>
      </w:r>
      <w:r w:rsidR="00A00EFF" w:rsidRPr="00F91817">
        <w:rPr>
          <w:szCs w:val="18"/>
        </w:rPr>
        <w:t xml:space="preserve">Décision </w:t>
      </w:r>
      <w:hyperlink r:id="rId22" w:history="1">
        <w:r w:rsidRPr="00F91817">
          <w:rPr>
            <w:rStyle w:val="Lienhypertexte"/>
            <w:szCs w:val="18"/>
          </w:rPr>
          <w:t>NP</w:t>
        </w:r>
        <w:r w:rsidRPr="00F91817">
          <w:rPr>
            <w:rStyle w:val="Lienhypertexte"/>
            <w:szCs w:val="18"/>
          </w:rPr>
          <w:t>-</w:t>
        </w:r>
        <w:r w:rsidRPr="00F91817">
          <w:rPr>
            <w:rStyle w:val="Lienhypertexte"/>
            <w:szCs w:val="18"/>
          </w:rPr>
          <w:t>5/3</w:t>
        </w:r>
      </w:hyperlink>
      <w:r w:rsidRPr="00F91817">
        <w:rPr>
          <w:szCs w:val="18"/>
        </w:rPr>
        <w:t xml:space="preserve">, </w:t>
      </w:r>
      <w:r w:rsidR="004F440F" w:rsidRPr="00F91817">
        <w:rPr>
          <w:szCs w:val="18"/>
        </w:rPr>
        <w:t>annexe.</w:t>
      </w:r>
    </w:p>
  </w:footnote>
  <w:footnote w:id="29">
    <w:p w14:paraId="1CCB5E3F" w14:textId="77777777" w:rsidR="00B14B10" w:rsidRPr="00F91817" w:rsidRDefault="00B14B10" w:rsidP="00B14B10">
      <w:pPr>
        <w:pStyle w:val="Notedebasdepage"/>
        <w:rPr>
          <w:szCs w:val="18"/>
        </w:rPr>
      </w:pPr>
      <w:r w:rsidRPr="00F91817">
        <w:rPr>
          <w:rStyle w:val="Appelnotedebasdep"/>
          <w:szCs w:val="18"/>
        </w:rPr>
        <w:footnoteRef/>
      </w:r>
      <w:r w:rsidRPr="00F91817">
        <w:rPr>
          <w:szCs w:val="18"/>
        </w:rPr>
        <w:t xml:space="preserve"> </w:t>
      </w:r>
      <w:r w:rsidR="00925404" w:rsidRPr="00F91817">
        <w:rPr>
          <w:szCs w:val="18"/>
        </w:rPr>
        <w:t xml:space="preserve">Nations Unies, </w:t>
      </w:r>
      <w:r w:rsidR="00925404" w:rsidRPr="00F91817">
        <w:rPr>
          <w:i/>
          <w:iCs/>
          <w:szCs w:val="18"/>
        </w:rPr>
        <w:t>Recueil des Traités</w:t>
      </w:r>
      <w:r w:rsidR="00925404" w:rsidRPr="00F91817">
        <w:rPr>
          <w:szCs w:val="18"/>
        </w:rPr>
        <w:t>, vol.</w:t>
      </w:r>
      <w:r w:rsidR="00436638" w:rsidRPr="00F91817">
        <w:rPr>
          <w:szCs w:val="18"/>
        </w:rPr>
        <w:t> </w:t>
      </w:r>
      <w:r w:rsidR="00925404" w:rsidRPr="00F91817">
        <w:rPr>
          <w:szCs w:val="18"/>
        </w:rPr>
        <w:t>3008, n°</w:t>
      </w:r>
      <w:r w:rsidR="00436638" w:rsidRPr="00F91817">
        <w:rPr>
          <w:szCs w:val="18"/>
        </w:rPr>
        <w:t> </w:t>
      </w:r>
      <w:r w:rsidR="00925404" w:rsidRPr="00F91817">
        <w:rPr>
          <w:szCs w:val="18"/>
        </w:rPr>
        <w:t>30619</w:t>
      </w:r>
      <w:r w:rsidRPr="00F91817">
        <w:rPr>
          <w:szCs w:val="18"/>
        </w:rPr>
        <w:t>.</w:t>
      </w:r>
    </w:p>
  </w:footnote>
  <w:footnote w:id="30">
    <w:p w14:paraId="40EB4D36" w14:textId="77777777" w:rsidR="00B14B10" w:rsidRPr="00F91817" w:rsidRDefault="00B14B10" w:rsidP="00B14B10">
      <w:pPr>
        <w:pStyle w:val="Notedebasdepage"/>
      </w:pPr>
      <w:r w:rsidRPr="00F91817">
        <w:rPr>
          <w:rStyle w:val="Appelnotedebasdep"/>
        </w:rPr>
        <w:footnoteRef/>
      </w:r>
      <w:r w:rsidRPr="00F91817">
        <w:t xml:space="preserve"> </w:t>
      </w:r>
      <w:r w:rsidR="002A2109" w:rsidRPr="00F91817">
        <w:t>Comme indiqué dans la résolution</w:t>
      </w:r>
      <w:r w:rsidR="00436638" w:rsidRPr="00F91817">
        <w:t> </w:t>
      </w:r>
      <w:r w:rsidR="002A2109" w:rsidRPr="00F91817">
        <w:t>5/5 de l</w:t>
      </w:r>
      <w:r w:rsidR="0059442D">
        <w:t>’</w:t>
      </w:r>
      <w:r w:rsidR="002A2109" w:rsidRPr="00F91817">
        <w:t>Assemblée des Nations Unies pour l</w:t>
      </w:r>
      <w:r w:rsidR="0059442D">
        <w:t>’</w:t>
      </w:r>
      <w:r w:rsidR="002A2109" w:rsidRPr="00F91817">
        <w:t>environnement</w:t>
      </w:r>
      <w:r w:rsidRPr="00F91817">
        <w:rPr>
          <w:rFonts w:eastAsia="Times New Roman"/>
          <w:color w:val="000000"/>
        </w:rPr>
        <w:t>.</w:t>
      </w:r>
    </w:p>
  </w:footnote>
  <w:footnote w:id="31">
    <w:p w14:paraId="1DFDDE8C" w14:textId="77777777" w:rsidR="00B14B10" w:rsidRPr="00F91817" w:rsidRDefault="00B14B10" w:rsidP="00B14B10">
      <w:pPr>
        <w:pStyle w:val="Notedebasdepage"/>
      </w:pPr>
      <w:r w:rsidRPr="00F91817">
        <w:rPr>
          <w:rStyle w:val="Appelnotedebasdep"/>
        </w:rPr>
        <w:footnoteRef/>
      </w:r>
      <w:r w:rsidRPr="00F91817">
        <w:t xml:space="preserve"> </w:t>
      </w:r>
      <w:r w:rsidR="00A00EFF" w:rsidRPr="00F91817">
        <w:t>Décision</w:t>
      </w:r>
      <w:r w:rsidR="00436638" w:rsidRPr="00F91817">
        <w:t> </w:t>
      </w:r>
      <w:hyperlink r:id="rId23" w:history="1">
        <w:r w:rsidRPr="00F91817">
          <w:rPr>
            <w:rStyle w:val="Lienhypertexte"/>
          </w:rPr>
          <w:t>15/5</w:t>
        </w:r>
      </w:hyperlink>
      <w:r w:rsidRPr="00F91817">
        <w:t>, annex</w:t>
      </w:r>
      <w:r w:rsidR="004F440F" w:rsidRPr="00F91817">
        <w:t>e</w:t>
      </w:r>
      <w:r w:rsidRPr="00F91817">
        <w:t xml:space="preserve"> I.</w:t>
      </w:r>
    </w:p>
  </w:footnote>
  <w:footnote w:id="32">
    <w:p w14:paraId="2F4F50BD" w14:textId="77777777" w:rsidR="005E4558" w:rsidRPr="00F91817" w:rsidRDefault="005E4558" w:rsidP="005E4558">
      <w:pPr>
        <w:pStyle w:val="Notedebasdepage"/>
        <w:rPr>
          <w:szCs w:val="18"/>
        </w:rPr>
      </w:pPr>
      <w:r w:rsidRPr="00F91817">
        <w:rPr>
          <w:rStyle w:val="Appelnotedebasdep"/>
        </w:rPr>
        <w:footnoteRef/>
      </w:r>
      <w:r w:rsidRPr="00F91817">
        <w:t xml:space="preserve"> </w:t>
      </w:r>
      <w:r w:rsidR="004F440F" w:rsidRPr="00F91817">
        <w:rPr>
          <w:szCs w:val="18"/>
        </w:rPr>
        <w:t xml:space="preserve">Nations Unies, </w:t>
      </w:r>
      <w:r w:rsidR="004F440F" w:rsidRPr="00F91817">
        <w:rPr>
          <w:i/>
          <w:iCs/>
          <w:szCs w:val="18"/>
        </w:rPr>
        <w:t>Recueil des Traités</w:t>
      </w:r>
      <w:r w:rsidR="004F440F" w:rsidRPr="00F91817">
        <w:rPr>
          <w:szCs w:val="18"/>
        </w:rPr>
        <w:t>, vol.</w:t>
      </w:r>
      <w:r w:rsidR="00436638" w:rsidRPr="00F91817">
        <w:rPr>
          <w:szCs w:val="18"/>
        </w:rPr>
        <w:t> </w:t>
      </w:r>
      <w:r w:rsidR="004F440F" w:rsidRPr="00F91817">
        <w:rPr>
          <w:szCs w:val="18"/>
        </w:rPr>
        <w:t>2226, n°</w:t>
      </w:r>
      <w:r w:rsidR="00436638" w:rsidRPr="00F91817">
        <w:rPr>
          <w:szCs w:val="18"/>
        </w:rPr>
        <w:t> </w:t>
      </w:r>
      <w:r w:rsidR="004F440F" w:rsidRPr="00F91817">
        <w:rPr>
          <w:szCs w:val="18"/>
        </w:rPr>
        <w:t>30619</w:t>
      </w:r>
      <w:r w:rsidRPr="00F91817">
        <w:rPr>
          <w:szCs w:val="18"/>
        </w:rPr>
        <w:t>.</w:t>
      </w:r>
    </w:p>
  </w:footnote>
  <w:footnote w:id="33">
    <w:p w14:paraId="10D93F20" w14:textId="77777777" w:rsidR="005E4558" w:rsidRPr="00F91817" w:rsidRDefault="005E4558" w:rsidP="005E4558">
      <w:pPr>
        <w:pStyle w:val="Notedebasdepage"/>
      </w:pPr>
      <w:r w:rsidRPr="00F91817">
        <w:rPr>
          <w:rStyle w:val="Appelnotedebasdep"/>
        </w:rPr>
        <w:footnoteRef/>
      </w:r>
      <w:r w:rsidRPr="00F91817">
        <w:t xml:space="preserve"> </w:t>
      </w:r>
      <w:r w:rsidR="00A00EFF" w:rsidRPr="00F91817">
        <w:rPr>
          <w:szCs w:val="18"/>
        </w:rPr>
        <w:t xml:space="preserve">Décision </w:t>
      </w:r>
      <w:hyperlink r:id="rId24" w:history="1">
        <w:r w:rsidRPr="00F91817">
          <w:rPr>
            <w:rStyle w:val="Lienhypertexte"/>
            <w:szCs w:val="18"/>
          </w:rPr>
          <w:t>CP-1</w:t>
        </w:r>
        <w:r w:rsidRPr="00F91817">
          <w:rPr>
            <w:rStyle w:val="Lienhypertexte"/>
            <w:szCs w:val="18"/>
          </w:rPr>
          <w:t>0</w:t>
        </w:r>
        <w:r w:rsidRPr="00F91817">
          <w:rPr>
            <w:rStyle w:val="Lienhypertexte"/>
            <w:szCs w:val="18"/>
          </w:rPr>
          <w:t>/3</w:t>
        </w:r>
      </w:hyperlink>
      <w:r w:rsidRPr="00F91817">
        <w:rPr>
          <w:szCs w:val="18"/>
        </w:rPr>
        <w:t xml:space="preserve">, </w:t>
      </w:r>
      <w:r w:rsidR="004F440F" w:rsidRPr="00F91817">
        <w:rPr>
          <w:szCs w:val="18"/>
        </w:rPr>
        <w:t>annexe.</w:t>
      </w:r>
    </w:p>
  </w:footnote>
  <w:footnote w:id="34">
    <w:p w14:paraId="795767A4" w14:textId="77777777" w:rsidR="00B14B10" w:rsidRPr="00F91817" w:rsidRDefault="00B14B10" w:rsidP="00B14B10">
      <w:pPr>
        <w:pStyle w:val="Notedebasdepage"/>
      </w:pPr>
      <w:r w:rsidRPr="00F91817">
        <w:rPr>
          <w:rStyle w:val="Appelnotedebasdep"/>
        </w:rPr>
        <w:footnoteRef/>
      </w:r>
      <w:r w:rsidRPr="00F91817">
        <w:t xml:space="preserve"> </w:t>
      </w:r>
      <w:r w:rsidR="00A00EFF" w:rsidRPr="00F91817">
        <w:rPr>
          <w:szCs w:val="18"/>
        </w:rPr>
        <w:t xml:space="preserve">Décision </w:t>
      </w:r>
      <w:hyperlink r:id="rId25" w:history="1">
        <w:r w:rsidRPr="00F91817">
          <w:rPr>
            <w:rStyle w:val="Lienhypertexte"/>
            <w:szCs w:val="18"/>
          </w:rPr>
          <w:t>CP-1</w:t>
        </w:r>
        <w:r w:rsidRPr="00F91817">
          <w:rPr>
            <w:rStyle w:val="Lienhypertexte"/>
            <w:szCs w:val="18"/>
          </w:rPr>
          <w:t>0</w:t>
        </w:r>
        <w:r w:rsidRPr="00F91817">
          <w:rPr>
            <w:rStyle w:val="Lienhypertexte"/>
            <w:szCs w:val="18"/>
          </w:rPr>
          <w:t>/4</w:t>
        </w:r>
      </w:hyperlink>
      <w:r w:rsidRPr="00F91817">
        <w:rPr>
          <w:szCs w:val="18"/>
        </w:rPr>
        <w:t xml:space="preserve">, </w:t>
      </w:r>
      <w:r w:rsidR="004F440F" w:rsidRPr="00F91817">
        <w:rPr>
          <w:szCs w:val="18"/>
        </w:rPr>
        <w:t>annexe.</w:t>
      </w:r>
    </w:p>
  </w:footnote>
  <w:footnote w:id="35">
    <w:p w14:paraId="2930078C" w14:textId="77777777" w:rsidR="00FE3D99" w:rsidRPr="00F91817" w:rsidRDefault="00FE3D99" w:rsidP="00FE3D99">
      <w:pPr>
        <w:pStyle w:val="Notedebasdepage"/>
      </w:pPr>
      <w:r w:rsidRPr="00F91817">
        <w:rPr>
          <w:rStyle w:val="Appelnotedebasdep"/>
        </w:rPr>
        <w:footnoteRef/>
      </w:r>
      <w:r w:rsidRPr="00F91817">
        <w:t xml:space="preserve"> </w:t>
      </w:r>
      <w:r w:rsidR="004F440F" w:rsidRPr="00F91817">
        <w:t xml:space="preserve">Nations Unies, </w:t>
      </w:r>
      <w:r w:rsidR="004F440F" w:rsidRPr="00F91817">
        <w:rPr>
          <w:i/>
          <w:iCs/>
        </w:rPr>
        <w:t>Recueil des Traités</w:t>
      </w:r>
      <w:r w:rsidR="004F440F" w:rsidRPr="00F91817">
        <w:t>, vol.</w:t>
      </w:r>
      <w:r w:rsidR="00436638" w:rsidRPr="00F91817">
        <w:t> </w:t>
      </w:r>
      <w:r w:rsidR="004F440F" w:rsidRPr="00F91817">
        <w:t>3008, n°</w:t>
      </w:r>
      <w:r w:rsidR="00436638" w:rsidRPr="00F91817">
        <w:t> </w:t>
      </w:r>
      <w:r w:rsidR="004F440F" w:rsidRPr="00F91817">
        <w:t>30619.</w:t>
      </w:r>
    </w:p>
  </w:footnote>
  <w:footnote w:id="36">
    <w:p w14:paraId="329E6133" w14:textId="77777777" w:rsidR="00B14B10" w:rsidRPr="00F91817" w:rsidRDefault="00B14B10" w:rsidP="00B14B10">
      <w:pPr>
        <w:pStyle w:val="Notedebasdepage"/>
      </w:pPr>
      <w:r w:rsidRPr="00F91817">
        <w:rPr>
          <w:rStyle w:val="Appelnotedebasdep"/>
        </w:rPr>
        <w:footnoteRef/>
      </w:r>
      <w:r w:rsidRPr="00F91817">
        <w:t xml:space="preserve"> </w:t>
      </w:r>
      <w:r w:rsidRPr="00F91817">
        <w:rPr>
          <w:szCs w:val="18"/>
        </w:rPr>
        <w:t>D</w:t>
      </w:r>
      <w:r w:rsidR="00A00EFF" w:rsidRPr="00F91817">
        <w:rPr>
          <w:szCs w:val="18"/>
        </w:rPr>
        <w:t>é</w:t>
      </w:r>
      <w:r w:rsidRPr="00F91817">
        <w:rPr>
          <w:szCs w:val="18"/>
        </w:rPr>
        <w:t xml:space="preserve">cision </w:t>
      </w:r>
      <w:hyperlink r:id="rId26" w:history="1">
        <w:r w:rsidRPr="00F91817">
          <w:rPr>
            <w:rStyle w:val="Lienhypertexte"/>
            <w:szCs w:val="18"/>
          </w:rPr>
          <w:t>NP-5/3</w:t>
        </w:r>
      </w:hyperlink>
      <w:r w:rsidRPr="00F91817">
        <w:rPr>
          <w:szCs w:val="18"/>
        </w:rPr>
        <w:t>, annex</w:t>
      </w:r>
      <w:r w:rsidR="00A00EFF" w:rsidRPr="00F91817">
        <w:rPr>
          <w:szCs w:val="18"/>
        </w:rPr>
        <w:t>e</w:t>
      </w:r>
      <w:r w:rsidRPr="00F91817">
        <w:rPr>
          <w:szCs w:val="18"/>
        </w:rPr>
        <w:t>.</w:t>
      </w:r>
    </w:p>
  </w:footnote>
  <w:footnote w:id="37">
    <w:p w14:paraId="0103A51E" w14:textId="77777777" w:rsidR="00B14B10" w:rsidRPr="00F91817" w:rsidRDefault="00B14B10" w:rsidP="00B14B10">
      <w:pPr>
        <w:pStyle w:val="Notedebasdepage"/>
      </w:pPr>
      <w:r w:rsidRPr="00F91817">
        <w:rPr>
          <w:rStyle w:val="Appelnotedebasdep"/>
        </w:rPr>
        <w:footnoteRef/>
      </w:r>
      <w:r w:rsidRPr="00F91817">
        <w:t xml:space="preserve"> D</w:t>
      </w:r>
      <w:r w:rsidR="00A00EFF" w:rsidRPr="00F91817">
        <w:t>é</w:t>
      </w:r>
      <w:r w:rsidRPr="00F91817">
        <w:t xml:space="preserve">cision </w:t>
      </w:r>
      <w:hyperlink r:id="rId27" w:history="1">
        <w:r w:rsidRPr="00F91817">
          <w:rPr>
            <w:rStyle w:val="Lienhypertexte"/>
          </w:rPr>
          <w:t>16/</w:t>
        </w:r>
        <w:r w:rsidRPr="00F91817">
          <w:rPr>
            <w:rStyle w:val="Lienhypertexte"/>
          </w:rPr>
          <w:t>1</w:t>
        </w:r>
        <w:r w:rsidRPr="00F91817">
          <w:rPr>
            <w:rStyle w:val="Lienhypertexte"/>
          </w:rPr>
          <w:t>9</w:t>
        </w:r>
      </w:hyperlink>
      <w:r w:rsidRPr="00F91817">
        <w:t>, annex</w:t>
      </w:r>
      <w:r w:rsidR="00A00EFF" w:rsidRPr="00F91817">
        <w:t>e</w:t>
      </w:r>
      <w:r w:rsidRPr="00F91817">
        <w:t xml:space="preserve"> I.</w:t>
      </w:r>
    </w:p>
  </w:footnote>
  <w:footnote w:id="38">
    <w:p w14:paraId="03E21D3C" w14:textId="77777777" w:rsidR="00B14B10" w:rsidRPr="00F91817" w:rsidRDefault="00B14B10" w:rsidP="00B14B10">
      <w:pPr>
        <w:pStyle w:val="Notedebasdepage"/>
      </w:pPr>
      <w:r w:rsidRPr="00F91817">
        <w:rPr>
          <w:rStyle w:val="Appelnotedebasdep"/>
        </w:rPr>
        <w:footnoteRef/>
      </w:r>
      <w:r w:rsidRPr="00F91817">
        <w:t xml:space="preserve"> </w:t>
      </w:r>
      <w:r w:rsidR="00A00EFF" w:rsidRPr="00F91817">
        <w:t>Décision</w:t>
      </w:r>
      <w:r w:rsidR="00436638" w:rsidRPr="00F91817">
        <w:t> </w:t>
      </w:r>
      <w:hyperlink r:id="rId28" w:history="1">
        <w:r w:rsidRPr="00F91817">
          <w:rPr>
            <w:rStyle w:val="Lienhypertexte"/>
          </w:rPr>
          <w:t>15/4</w:t>
        </w:r>
      </w:hyperlink>
      <w:r w:rsidRPr="00F91817">
        <w:t xml:space="preserve">, </w:t>
      </w:r>
      <w:r w:rsidR="004F440F" w:rsidRPr="00F91817">
        <w:t>annexe.</w:t>
      </w:r>
    </w:p>
  </w:footnote>
  <w:footnote w:id="39">
    <w:p w14:paraId="14883628" w14:textId="77777777" w:rsidR="00B14B10" w:rsidRPr="00F91817" w:rsidRDefault="00B14B10" w:rsidP="00B14B10">
      <w:pPr>
        <w:pStyle w:val="Notedebasdepage"/>
        <w:rPr>
          <w:b/>
          <w:bCs/>
        </w:rPr>
      </w:pPr>
      <w:r w:rsidRPr="00F91817">
        <w:rPr>
          <w:rStyle w:val="Appelnotedebasdep"/>
        </w:rPr>
        <w:footnoteRef/>
      </w:r>
      <w:r w:rsidRPr="00F91817">
        <w:t xml:space="preserve"> </w:t>
      </w:r>
      <w:r w:rsidR="0045606C" w:rsidRPr="00F91817">
        <w:t>Les demandes figurant aux alinéas b) et c) du paragraphe</w:t>
      </w:r>
      <w:r w:rsidR="00436638" w:rsidRPr="00F91817">
        <w:t> </w:t>
      </w:r>
      <w:r w:rsidR="0045606C" w:rsidRPr="00F91817">
        <w:t>1 de la décision CP-11/2 ont été incluses dans la pièce jointe I de l</w:t>
      </w:r>
      <w:r w:rsidR="0059442D">
        <w:t>’</w:t>
      </w:r>
      <w:r w:rsidR="0045606C" w:rsidRPr="00F91817">
        <w:t>annexe I de la présente décision, comme l</w:t>
      </w:r>
      <w:r w:rsidR="0059442D">
        <w:t>’</w:t>
      </w:r>
      <w:r w:rsidR="0045606C" w:rsidRPr="00F91817">
        <w:t>a recommandé la Conférence des Parties siégeant en tant que réunion des Parties au Protocole de Cartagena.</w:t>
      </w:r>
    </w:p>
  </w:footnote>
  <w:footnote w:id="40">
    <w:p w14:paraId="489253B7" w14:textId="77777777" w:rsidR="00B14B10" w:rsidRPr="00F91817" w:rsidRDefault="00B14B10" w:rsidP="00B14B10">
      <w:pPr>
        <w:pStyle w:val="Notedebasdepage"/>
        <w:rPr>
          <w:szCs w:val="18"/>
        </w:rPr>
      </w:pPr>
      <w:r w:rsidRPr="00F91817">
        <w:rPr>
          <w:rStyle w:val="Appelnotedebasdep"/>
        </w:rPr>
        <w:footnoteRef/>
      </w:r>
      <w:r w:rsidRPr="00F91817">
        <w:t xml:space="preserve"> </w:t>
      </w:r>
      <w:r w:rsidR="004F440F" w:rsidRPr="00F91817">
        <w:rPr>
          <w:szCs w:val="18"/>
        </w:rPr>
        <w:t xml:space="preserve">Nations Unies, </w:t>
      </w:r>
      <w:r w:rsidR="004F440F" w:rsidRPr="00F91817">
        <w:rPr>
          <w:i/>
          <w:iCs/>
          <w:szCs w:val="18"/>
        </w:rPr>
        <w:t>Recueil des Traités</w:t>
      </w:r>
      <w:r w:rsidR="004F440F" w:rsidRPr="00F91817">
        <w:rPr>
          <w:szCs w:val="18"/>
        </w:rPr>
        <w:t>, vol.</w:t>
      </w:r>
      <w:r w:rsidR="00436638" w:rsidRPr="00F91817">
        <w:rPr>
          <w:szCs w:val="18"/>
        </w:rPr>
        <w:t> </w:t>
      </w:r>
      <w:r w:rsidR="004F440F" w:rsidRPr="00F91817">
        <w:rPr>
          <w:szCs w:val="18"/>
        </w:rPr>
        <w:t>2226, n°</w:t>
      </w:r>
      <w:r w:rsidR="00436638" w:rsidRPr="00F91817">
        <w:rPr>
          <w:szCs w:val="18"/>
        </w:rPr>
        <w:t> </w:t>
      </w:r>
      <w:r w:rsidR="004F440F" w:rsidRPr="00F91817">
        <w:rPr>
          <w:szCs w:val="18"/>
        </w:rPr>
        <w:t>30619</w:t>
      </w:r>
      <w:r w:rsidRPr="00F91817">
        <w:rPr>
          <w:szCs w:val="18"/>
        </w:rPr>
        <w:t>.</w:t>
      </w:r>
    </w:p>
  </w:footnote>
  <w:footnote w:id="41">
    <w:p w14:paraId="30A277FF" w14:textId="16E4D813" w:rsidR="00B14B10" w:rsidRPr="00F91817" w:rsidRDefault="00B14B10" w:rsidP="00B14B10">
      <w:pPr>
        <w:pStyle w:val="Notedebasdepage"/>
      </w:pPr>
      <w:r w:rsidRPr="00F91817">
        <w:rPr>
          <w:rStyle w:val="Appelnotedebasdep"/>
        </w:rPr>
        <w:footnoteRef/>
      </w:r>
      <w:r w:rsidRPr="00F91817">
        <w:t xml:space="preserve"> </w:t>
      </w:r>
      <w:r w:rsidR="00F35B4E" w:rsidRPr="00F35B4E">
        <w:t xml:space="preserve">Les demandes recommandées aux alinéas </w:t>
      </w:r>
      <w:proofErr w:type="gramStart"/>
      <w:r w:rsidR="00F35B4E" w:rsidRPr="00F35B4E">
        <w:t>a</w:t>
      </w:r>
      <w:proofErr w:type="gramEnd"/>
      <w:r w:rsidR="00F35B4E" w:rsidRPr="00F35B4E">
        <w:t xml:space="preserve">), b) et e) du paragraphe 3 de la décision </w:t>
      </w:r>
      <w:hyperlink r:id="rId29" w:history="1">
        <w:r w:rsidR="00F35B4E" w:rsidRPr="00F35B4E">
          <w:rPr>
            <w:rStyle w:val="Lienhypertexte"/>
          </w:rPr>
          <w:t>NP-5/2</w:t>
        </w:r>
      </w:hyperlink>
      <w:r w:rsidR="00F35B4E" w:rsidRPr="00F35B4E">
        <w:t xml:space="preserve"> sont reflétées aux paragraphes 12, 11 et 13 de l'annexe II, respectivement. Les demandes recommandées aux alinéas c) et d) du paragraphe 3 de la même décision ont été incluses dans les alinéas a) et b), respectivement, de la pièce jointe II à l'annexe I de la présente décision, comme l'a recommandé la Conférence des Parties siégeant en tant que réunion des Parties au Protocole de Nagoya. L'invitation recommandée au paragraphe 8 de la décision </w:t>
      </w:r>
      <w:hyperlink r:id="rId30" w:history="1">
        <w:r w:rsidR="00F35B4E" w:rsidRPr="00F35B4E">
          <w:rPr>
            <w:rStyle w:val="Lienhypertexte"/>
          </w:rPr>
          <w:t>NP-5/3</w:t>
        </w:r>
      </w:hyperlink>
      <w:r w:rsidR="00F35B4E" w:rsidRPr="00F35B4E">
        <w:t xml:space="preserve"> a également été incluse à l'alinéa a) de la pièce jointe II à l'annexe I de la présente décision.</w:t>
      </w:r>
    </w:p>
  </w:footnote>
  <w:footnote w:id="42">
    <w:p w14:paraId="791A805F" w14:textId="0B595C09" w:rsidR="00F35B4E" w:rsidRPr="00F35B4E" w:rsidRDefault="00F35B4E" w:rsidP="00F35B4E">
      <w:pPr>
        <w:pStyle w:val="Notedebasdepage"/>
        <w:rPr>
          <w:lang w:val="fr-FR"/>
        </w:rPr>
      </w:pPr>
      <w:r w:rsidRPr="000E0459">
        <w:rPr>
          <w:rStyle w:val="Appelnotedebasdep"/>
        </w:rPr>
        <w:footnoteRef/>
      </w:r>
      <w:r w:rsidRPr="000E0459">
        <w:t xml:space="preserve"> </w:t>
      </w:r>
      <w:r w:rsidRPr="00F35B4E">
        <w:rPr>
          <w:lang w:val="fr-FR"/>
        </w:rPr>
        <w:t>Nations Unies, </w:t>
      </w:r>
      <w:r w:rsidRPr="00F35B4E">
        <w:rPr>
          <w:i/>
          <w:lang w:val="fr-FR"/>
        </w:rPr>
        <w:t>Recueil des Traités</w:t>
      </w:r>
      <w:r w:rsidRPr="00F35B4E">
        <w:rPr>
          <w:lang w:val="fr-FR"/>
        </w:rPr>
        <w:t>, vol. 3008, n° 30619</w:t>
      </w:r>
      <w:r w:rsidRPr="000E045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CA06" w14:textId="512224A8" w:rsidR="002B559C" w:rsidRPr="00875C09" w:rsidRDefault="00607233" w:rsidP="00875C09">
    <w:pPr>
      <w:pStyle w:val="CBDHeader"/>
    </w:pPr>
    <w:r>
      <w:rPr>
        <w:noProof/>
      </w:rPr>
      <w:fldChar w:fldCharType="begin"/>
    </w:r>
    <w:r w:rsidR="00AC1C85">
      <w:rPr>
        <w:noProof/>
      </w:rPr>
      <w:instrText xml:space="preserve"> StyleRef AB_Symbol </w:instrText>
    </w:r>
    <w:r>
      <w:rPr>
        <w:noProof/>
      </w:rPr>
      <w:fldChar w:fldCharType="separate"/>
    </w:r>
    <w:r w:rsidR="00434EDA">
      <w:rPr>
        <w:noProof/>
      </w:rPr>
      <w:t>CBD/COP/DEC/16/33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2166" w14:textId="651EA253" w:rsidR="00875C09" w:rsidRPr="00875C09" w:rsidRDefault="00607233" w:rsidP="00875C09">
    <w:pPr>
      <w:pStyle w:val="CBDHeader"/>
      <w:jc w:val="right"/>
    </w:pPr>
    <w:r>
      <w:rPr>
        <w:noProof/>
      </w:rPr>
      <w:fldChar w:fldCharType="begin"/>
    </w:r>
    <w:r w:rsidR="00AC1C85">
      <w:rPr>
        <w:noProof/>
      </w:rPr>
      <w:instrText xml:space="preserve"> StyleRef AB_Symbol </w:instrText>
    </w:r>
    <w:r>
      <w:rPr>
        <w:noProof/>
      </w:rPr>
      <w:fldChar w:fldCharType="separate"/>
    </w:r>
    <w:r w:rsidR="00434EDA">
      <w:rPr>
        <w:noProof/>
      </w:rPr>
      <w:t>CBD/COP/DEC/16/33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001A5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60654E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A743F1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130B62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874E7E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6F88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A0E8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5F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40AE1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FB2D8B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47DCF"/>
    <w:multiLevelType w:val="hybridMultilevel"/>
    <w:tmpl w:val="22B4A098"/>
    <w:lvl w:ilvl="0" w:tplc="CC3EEC4E">
      <w:start w:val="9"/>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0C067ED7"/>
    <w:multiLevelType w:val="hybridMultilevel"/>
    <w:tmpl w:val="F404F60A"/>
    <w:lvl w:ilvl="0" w:tplc="0AE09CB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18720DED"/>
    <w:multiLevelType w:val="hybridMultilevel"/>
    <w:tmpl w:val="D35AC328"/>
    <w:lvl w:ilvl="0" w:tplc="5D88C868">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D375D6"/>
    <w:multiLevelType w:val="hybridMultilevel"/>
    <w:tmpl w:val="3CF037C4"/>
    <w:lvl w:ilvl="0" w:tplc="5A36572A">
      <w:start w:val="6"/>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E0442B4"/>
    <w:multiLevelType w:val="multilevel"/>
    <w:tmpl w:val="B9A6BC76"/>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943BEE"/>
    <w:multiLevelType w:val="multilevel"/>
    <w:tmpl w:val="222A08B4"/>
    <w:numStyleLink w:val="ListCBD"/>
  </w:abstractNum>
  <w:abstractNum w:abstractNumId="26"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7" w15:restartNumberingAfterBreak="0">
    <w:nsid w:val="5E9B22EC"/>
    <w:multiLevelType w:val="hybridMultilevel"/>
    <w:tmpl w:val="D6E4A112"/>
    <w:lvl w:ilvl="0" w:tplc="A400003C">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A513A"/>
    <w:multiLevelType w:val="hybridMultilevel"/>
    <w:tmpl w:val="FC44713A"/>
    <w:lvl w:ilvl="0" w:tplc="7B8C07FE">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0"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33" w15:restartNumberingAfterBreak="0">
    <w:nsid w:val="72AF6E18"/>
    <w:multiLevelType w:val="hybridMultilevel"/>
    <w:tmpl w:val="E4CE4F50"/>
    <w:lvl w:ilvl="0" w:tplc="7290706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781626BA"/>
    <w:multiLevelType w:val="hybridMultilevel"/>
    <w:tmpl w:val="D6424554"/>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8235C6"/>
    <w:multiLevelType w:val="hybridMultilevel"/>
    <w:tmpl w:val="4EFCAB96"/>
    <w:lvl w:ilvl="0" w:tplc="1128A4C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44138"/>
    <w:multiLevelType w:val="hybridMultilevel"/>
    <w:tmpl w:val="66E00DB0"/>
    <w:lvl w:ilvl="0" w:tplc="6358BB0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34038081">
    <w:abstractNumId w:val="36"/>
  </w:num>
  <w:num w:numId="2" w16cid:durableId="238292632">
    <w:abstractNumId w:val="18"/>
  </w:num>
  <w:num w:numId="3" w16cid:durableId="1404450177">
    <w:abstractNumId w:val="22"/>
  </w:num>
  <w:num w:numId="4" w16cid:durableId="1452475531">
    <w:abstractNumId w:val="21"/>
  </w:num>
  <w:num w:numId="5" w16cid:durableId="1627420975">
    <w:abstractNumId w:val="31"/>
  </w:num>
  <w:num w:numId="6" w16cid:durableId="257717286">
    <w:abstractNumId w:val="32"/>
  </w:num>
  <w:num w:numId="7" w16cid:durableId="155802250">
    <w:abstractNumId w:val="9"/>
  </w:num>
  <w:num w:numId="8" w16cid:durableId="1019820299">
    <w:abstractNumId w:val="7"/>
  </w:num>
  <w:num w:numId="9" w16cid:durableId="988436224">
    <w:abstractNumId w:val="6"/>
  </w:num>
  <w:num w:numId="10" w16cid:durableId="1247225385">
    <w:abstractNumId w:val="5"/>
  </w:num>
  <w:num w:numId="11" w16cid:durableId="713507378">
    <w:abstractNumId w:val="4"/>
  </w:num>
  <w:num w:numId="12" w16cid:durableId="1453011234">
    <w:abstractNumId w:val="25"/>
  </w:num>
  <w:num w:numId="13" w16cid:durableId="231501304">
    <w:abstractNumId w:val="8"/>
  </w:num>
  <w:num w:numId="14" w16cid:durableId="534386923">
    <w:abstractNumId w:val="3"/>
  </w:num>
  <w:num w:numId="15" w16cid:durableId="378475722">
    <w:abstractNumId w:val="2"/>
  </w:num>
  <w:num w:numId="16" w16cid:durableId="1912504115">
    <w:abstractNumId w:val="1"/>
  </w:num>
  <w:num w:numId="17" w16cid:durableId="1512989434">
    <w:abstractNumId w:val="0"/>
  </w:num>
  <w:num w:numId="18" w16cid:durableId="2054961086">
    <w:abstractNumId w:val="20"/>
  </w:num>
  <w:num w:numId="19" w16cid:durableId="1265309747">
    <w:abstractNumId w:val="34"/>
  </w:num>
  <w:num w:numId="20" w16cid:durableId="297029550">
    <w:abstractNumId w:val="14"/>
  </w:num>
  <w:num w:numId="21" w16cid:durableId="1347830919">
    <w:abstractNumId w:val="15"/>
  </w:num>
  <w:num w:numId="22" w16cid:durableId="1711496247">
    <w:abstractNumId w:val="17"/>
  </w:num>
  <w:num w:numId="23" w16cid:durableId="1876500829">
    <w:abstractNumId w:val="24"/>
  </w:num>
  <w:num w:numId="24" w16cid:durableId="1066074664">
    <w:abstractNumId w:val="30"/>
  </w:num>
  <w:num w:numId="25" w16cid:durableId="1671789818">
    <w:abstractNumId w:val="29"/>
  </w:num>
  <w:num w:numId="26" w16cid:durableId="209806083">
    <w:abstractNumId w:val="23"/>
  </w:num>
  <w:num w:numId="27" w16cid:durableId="621695314">
    <w:abstractNumId w:val="16"/>
  </w:num>
  <w:num w:numId="28" w16cid:durableId="1426069702">
    <w:abstractNumId w:val="16"/>
    <w:lvlOverride w:ilvl="0">
      <w:startOverride w:val="1"/>
    </w:lvlOverride>
  </w:num>
  <w:num w:numId="29" w16cid:durableId="1646004539">
    <w:abstractNumId w:val="26"/>
  </w:num>
  <w:num w:numId="30" w16cid:durableId="874536963">
    <w:abstractNumId w:val="26"/>
    <w:lvlOverride w:ilvl="0">
      <w:startOverride w:val="1"/>
    </w:lvlOverride>
  </w:num>
  <w:num w:numId="31" w16cid:durableId="1611231741">
    <w:abstractNumId w:val="26"/>
    <w:lvlOverride w:ilvl="0">
      <w:startOverride w:val="1"/>
    </w:lvlOverride>
  </w:num>
  <w:num w:numId="32" w16cid:durableId="689263986">
    <w:abstractNumId w:val="2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33" w16cid:durableId="111681093">
    <w:abstractNumId w:val="12"/>
  </w:num>
  <w:num w:numId="34" w16cid:durableId="1800033568">
    <w:abstractNumId w:val="19"/>
  </w:num>
  <w:num w:numId="35" w16cid:durableId="1879513767">
    <w:abstractNumId w:val="11"/>
  </w:num>
  <w:num w:numId="36" w16cid:durableId="1042561481">
    <w:abstractNumId w:val="37"/>
  </w:num>
  <w:num w:numId="37" w16cid:durableId="1557352591">
    <w:abstractNumId w:val="27"/>
  </w:num>
  <w:num w:numId="38" w16cid:durableId="151531482">
    <w:abstractNumId w:val="38"/>
  </w:num>
  <w:num w:numId="39" w16cid:durableId="1716541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1976478">
    <w:abstractNumId w:val="28"/>
  </w:num>
  <w:num w:numId="41" w16cid:durableId="1921212849">
    <w:abstractNumId w:val="35"/>
  </w:num>
  <w:num w:numId="42" w16cid:durableId="893154433">
    <w:abstractNumId w:val="10"/>
  </w:num>
  <w:num w:numId="43" w16cid:durableId="986276344">
    <w:abstractNumId w:val="33"/>
  </w:num>
  <w:num w:numId="44" w16cid:durableId="6774676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8AD"/>
    <w:rsid w:val="00000B1F"/>
    <w:rsid w:val="00000FDC"/>
    <w:rsid w:val="000011AB"/>
    <w:rsid w:val="00001250"/>
    <w:rsid w:val="00002B05"/>
    <w:rsid w:val="00004DAA"/>
    <w:rsid w:val="000078F4"/>
    <w:rsid w:val="0001031E"/>
    <w:rsid w:val="000103F2"/>
    <w:rsid w:val="00010881"/>
    <w:rsid w:val="00012CA6"/>
    <w:rsid w:val="00012DE3"/>
    <w:rsid w:val="000134C5"/>
    <w:rsid w:val="00014A26"/>
    <w:rsid w:val="000171B9"/>
    <w:rsid w:val="000174F9"/>
    <w:rsid w:val="00017B5D"/>
    <w:rsid w:val="0002373F"/>
    <w:rsid w:val="000243FD"/>
    <w:rsid w:val="0002491C"/>
    <w:rsid w:val="00025E82"/>
    <w:rsid w:val="00026036"/>
    <w:rsid w:val="00027061"/>
    <w:rsid w:val="000301D9"/>
    <w:rsid w:val="00030AC4"/>
    <w:rsid w:val="00031281"/>
    <w:rsid w:val="0003383D"/>
    <w:rsid w:val="00033DB3"/>
    <w:rsid w:val="0003499D"/>
    <w:rsid w:val="00034A4C"/>
    <w:rsid w:val="00037247"/>
    <w:rsid w:val="00037286"/>
    <w:rsid w:val="00037818"/>
    <w:rsid w:val="00037C27"/>
    <w:rsid w:val="00040598"/>
    <w:rsid w:val="0004115E"/>
    <w:rsid w:val="00041884"/>
    <w:rsid w:val="00042345"/>
    <w:rsid w:val="00042F8A"/>
    <w:rsid w:val="0004334E"/>
    <w:rsid w:val="000439F1"/>
    <w:rsid w:val="00043CF0"/>
    <w:rsid w:val="00043D5D"/>
    <w:rsid w:val="00043DC8"/>
    <w:rsid w:val="00043E83"/>
    <w:rsid w:val="00044BA9"/>
    <w:rsid w:val="00045845"/>
    <w:rsid w:val="00047D4D"/>
    <w:rsid w:val="00051B37"/>
    <w:rsid w:val="00051B8E"/>
    <w:rsid w:val="00052584"/>
    <w:rsid w:val="000533E1"/>
    <w:rsid w:val="0005487B"/>
    <w:rsid w:val="00057A92"/>
    <w:rsid w:val="00060111"/>
    <w:rsid w:val="00060BCD"/>
    <w:rsid w:val="000619E6"/>
    <w:rsid w:val="000623B4"/>
    <w:rsid w:val="0006271F"/>
    <w:rsid w:val="00064EBA"/>
    <w:rsid w:val="00064F64"/>
    <w:rsid w:val="00065326"/>
    <w:rsid w:val="0006532F"/>
    <w:rsid w:val="00070506"/>
    <w:rsid w:val="00070EAC"/>
    <w:rsid w:val="00071383"/>
    <w:rsid w:val="0007149A"/>
    <w:rsid w:val="00074216"/>
    <w:rsid w:val="00074C6C"/>
    <w:rsid w:val="00075B94"/>
    <w:rsid w:val="0008220D"/>
    <w:rsid w:val="000830F6"/>
    <w:rsid w:val="0008366E"/>
    <w:rsid w:val="00083FD2"/>
    <w:rsid w:val="00084964"/>
    <w:rsid w:val="0008510C"/>
    <w:rsid w:val="00086066"/>
    <w:rsid w:val="0008720D"/>
    <w:rsid w:val="000903A7"/>
    <w:rsid w:val="00092A78"/>
    <w:rsid w:val="00093ADA"/>
    <w:rsid w:val="00096D69"/>
    <w:rsid w:val="00096E44"/>
    <w:rsid w:val="000976E3"/>
    <w:rsid w:val="000977C2"/>
    <w:rsid w:val="000A071C"/>
    <w:rsid w:val="000A1BC6"/>
    <w:rsid w:val="000A1D38"/>
    <w:rsid w:val="000A2701"/>
    <w:rsid w:val="000A2D7F"/>
    <w:rsid w:val="000A3C84"/>
    <w:rsid w:val="000A422E"/>
    <w:rsid w:val="000A4D75"/>
    <w:rsid w:val="000A5A1E"/>
    <w:rsid w:val="000A5DC5"/>
    <w:rsid w:val="000A62CB"/>
    <w:rsid w:val="000A66C2"/>
    <w:rsid w:val="000B455D"/>
    <w:rsid w:val="000B4771"/>
    <w:rsid w:val="000B4E83"/>
    <w:rsid w:val="000B69D1"/>
    <w:rsid w:val="000B72A5"/>
    <w:rsid w:val="000B734B"/>
    <w:rsid w:val="000B7B09"/>
    <w:rsid w:val="000C2137"/>
    <w:rsid w:val="000C25A0"/>
    <w:rsid w:val="000C25A5"/>
    <w:rsid w:val="000C25DE"/>
    <w:rsid w:val="000C4A79"/>
    <w:rsid w:val="000C53A0"/>
    <w:rsid w:val="000C54F7"/>
    <w:rsid w:val="000D16A5"/>
    <w:rsid w:val="000D18BB"/>
    <w:rsid w:val="000D1DE4"/>
    <w:rsid w:val="000E1404"/>
    <w:rsid w:val="000E15B4"/>
    <w:rsid w:val="000E2649"/>
    <w:rsid w:val="000E4CCD"/>
    <w:rsid w:val="000E6F7E"/>
    <w:rsid w:val="000F054D"/>
    <w:rsid w:val="000F0E94"/>
    <w:rsid w:val="000F47BA"/>
    <w:rsid w:val="000F4CBD"/>
    <w:rsid w:val="000F5346"/>
    <w:rsid w:val="000F5DAC"/>
    <w:rsid w:val="000F6361"/>
    <w:rsid w:val="000F6FBB"/>
    <w:rsid w:val="00102F79"/>
    <w:rsid w:val="0010486C"/>
    <w:rsid w:val="001061BE"/>
    <w:rsid w:val="001078BB"/>
    <w:rsid w:val="00111D80"/>
    <w:rsid w:val="00112162"/>
    <w:rsid w:val="00112989"/>
    <w:rsid w:val="00113BD7"/>
    <w:rsid w:val="0011497F"/>
    <w:rsid w:val="00114EA8"/>
    <w:rsid w:val="00116307"/>
    <w:rsid w:val="0011702E"/>
    <w:rsid w:val="001173F7"/>
    <w:rsid w:val="001179B7"/>
    <w:rsid w:val="00117A19"/>
    <w:rsid w:val="00120073"/>
    <w:rsid w:val="0012068A"/>
    <w:rsid w:val="00122024"/>
    <w:rsid w:val="0012219D"/>
    <w:rsid w:val="00122C4A"/>
    <w:rsid w:val="00123376"/>
    <w:rsid w:val="001234BF"/>
    <w:rsid w:val="00123A02"/>
    <w:rsid w:val="00123FEF"/>
    <w:rsid w:val="001244A2"/>
    <w:rsid w:val="00126B99"/>
    <w:rsid w:val="001274B6"/>
    <w:rsid w:val="00127EE6"/>
    <w:rsid w:val="0013069A"/>
    <w:rsid w:val="00132581"/>
    <w:rsid w:val="00136F8A"/>
    <w:rsid w:val="00140021"/>
    <w:rsid w:val="0014075A"/>
    <w:rsid w:val="00142F3A"/>
    <w:rsid w:val="00143237"/>
    <w:rsid w:val="00143391"/>
    <w:rsid w:val="001450A2"/>
    <w:rsid w:val="00145695"/>
    <w:rsid w:val="001463BC"/>
    <w:rsid w:val="001472A4"/>
    <w:rsid w:val="0014784B"/>
    <w:rsid w:val="001478D9"/>
    <w:rsid w:val="00147AFD"/>
    <w:rsid w:val="00147CE6"/>
    <w:rsid w:val="00147DF8"/>
    <w:rsid w:val="00151C26"/>
    <w:rsid w:val="00152821"/>
    <w:rsid w:val="00153EAE"/>
    <w:rsid w:val="0015441A"/>
    <w:rsid w:val="00154D76"/>
    <w:rsid w:val="001558EC"/>
    <w:rsid w:val="00155DD1"/>
    <w:rsid w:val="00156EBD"/>
    <w:rsid w:val="00157B3E"/>
    <w:rsid w:val="00161EB9"/>
    <w:rsid w:val="00163993"/>
    <w:rsid w:val="00163D1D"/>
    <w:rsid w:val="00171C6C"/>
    <w:rsid w:val="001723F2"/>
    <w:rsid w:val="0017343A"/>
    <w:rsid w:val="001736CA"/>
    <w:rsid w:val="00174920"/>
    <w:rsid w:val="00174C69"/>
    <w:rsid w:val="0017551D"/>
    <w:rsid w:val="00175744"/>
    <w:rsid w:val="0017633A"/>
    <w:rsid w:val="00176579"/>
    <w:rsid w:val="00176EF3"/>
    <w:rsid w:val="00176F84"/>
    <w:rsid w:val="001770DD"/>
    <w:rsid w:val="0017742C"/>
    <w:rsid w:val="00180B63"/>
    <w:rsid w:val="00184228"/>
    <w:rsid w:val="001842F0"/>
    <w:rsid w:val="00184909"/>
    <w:rsid w:val="00184ADF"/>
    <w:rsid w:val="00185D1B"/>
    <w:rsid w:val="00191171"/>
    <w:rsid w:val="001919AF"/>
    <w:rsid w:val="00191B8B"/>
    <w:rsid w:val="00191C16"/>
    <w:rsid w:val="00193052"/>
    <w:rsid w:val="00193CB8"/>
    <w:rsid w:val="0019772A"/>
    <w:rsid w:val="00197820"/>
    <w:rsid w:val="001A0034"/>
    <w:rsid w:val="001A0463"/>
    <w:rsid w:val="001A04BF"/>
    <w:rsid w:val="001A11CB"/>
    <w:rsid w:val="001A1719"/>
    <w:rsid w:val="001A1A04"/>
    <w:rsid w:val="001A60FC"/>
    <w:rsid w:val="001A6DD6"/>
    <w:rsid w:val="001A7813"/>
    <w:rsid w:val="001B0424"/>
    <w:rsid w:val="001B0530"/>
    <w:rsid w:val="001B153E"/>
    <w:rsid w:val="001B19A3"/>
    <w:rsid w:val="001B1ABB"/>
    <w:rsid w:val="001B1ED5"/>
    <w:rsid w:val="001B272B"/>
    <w:rsid w:val="001B27F1"/>
    <w:rsid w:val="001B60A0"/>
    <w:rsid w:val="001B619A"/>
    <w:rsid w:val="001B6637"/>
    <w:rsid w:val="001B78BD"/>
    <w:rsid w:val="001B7BF4"/>
    <w:rsid w:val="001B7E40"/>
    <w:rsid w:val="001C1EF4"/>
    <w:rsid w:val="001C320F"/>
    <w:rsid w:val="001C3225"/>
    <w:rsid w:val="001C40F9"/>
    <w:rsid w:val="001C5E3D"/>
    <w:rsid w:val="001C60C8"/>
    <w:rsid w:val="001C6144"/>
    <w:rsid w:val="001C6824"/>
    <w:rsid w:val="001C6B05"/>
    <w:rsid w:val="001D0D2A"/>
    <w:rsid w:val="001D1167"/>
    <w:rsid w:val="001D2459"/>
    <w:rsid w:val="001D4558"/>
    <w:rsid w:val="001D5C82"/>
    <w:rsid w:val="001D7288"/>
    <w:rsid w:val="001D7BB9"/>
    <w:rsid w:val="001E1D93"/>
    <w:rsid w:val="001E2F4B"/>
    <w:rsid w:val="001E389B"/>
    <w:rsid w:val="001E471A"/>
    <w:rsid w:val="001E4755"/>
    <w:rsid w:val="001F1402"/>
    <w:rsid w:val="001F1A75"/>
    <w:rsid w:val="001F209D"/>
    <w:rsid w:val="001F2122"/>
    <w:rsid w:val="001F2A88"/>
    <w:rsid w:val="001F3F0A"/>
    <w:rsid w:val="001F5D9C"/>
    <w:rsid w:val="001F6576"/>
    <w:rsid w:val="001F762D"/>
    <w:rsid w:val="00202BFD"/>
    <w:rsid w:val="00202E35"/>
    <w:rsid w:val="0020331A"/>
    <w:rsid w:val="002039C1"/>
    <w:rsid w:val="00204E8B"/>
    <w:rsid w:val="00206426"/>
    <w:rsid w:val="002115F4"/>
    <w:rsid w:val="0021219F"/>
    <w:rsid w:val="0021241E"/>
    <w:rsid w:val="0021344F"/>
    <w:rsid w:val="00213780"/>
    <w:rsid w:val="0021408A"/>
    <w:rsid w:val="002140FB"/>
    <w:rsid w:val="0021488E"/>
    <w:rsid w:val="00214B5F"/>
    <w:rsid w:val="00214C3A"/>
    <w:rsid w:val="00214D12"/>
    <w:rsid w:val="00215B27"/>
    <w:rsid w:val="00215B99"/>
    <w:rsid w:val="00215FC5"/>
    <w:rsid w:val="002200B8"/>
    <w:rsid w:val="00221507"/>
    <w:rsid w:val="00223979"/>
    <w:rsid w:val="0023094B"/>
    <w:rsid w:val="00233238"/>
    <w:rsid w:val="00234D17"/>
    <w:rsid w:val="0023543A"/>
    <w:rsid w:val="002355ED"/>
    <w:rsid w:val="00235A6A"/>
    <w:rsid w:val="00235CA2"/>
    <w:rsid w:val="00236944"/>
    <w:rsid w:val="002416AB"/>
    <w:rsid w:val="002418CA"/>
    <w:rsid w:val="002441BD"/>
    <w:rsid w:val="00244F30"/>
    <w:rsid w:val="00247074"/>
    <w:rsid w:val="002472F9"/>
    <w:rsid w:val="00247DC6"/>
    <w:rsid w:val="0025062E"/>
    <w:rsid w:val="002520BD"/>
    <w:rsid w:val="002525F7"/>
    <w:rsid w:val="00252BB4"/>
    <w:rsid w:val="00253A54"/>
    <w:rsid w:val="00253E13"/>
    <w:rsid w:val="00254A29"/>
    <w:rsid w:val="00256861"/>
    <w:rsid w:val="002572A4"/>
    <w:rsid w:val="00257B18"/>
    <w:rsid w:val="00260381"/>
    <w:rsid w:val="00260E0B"/>
    <w:rsid w:val="00262BA1"/>
    <w:rsid w:val="002632AA"/>
    <w:rsid w:val="00263FAB"/>
    <w:rsid w:val="00264248"/>
    <w:rsid w:val="00264C30"/>
    <w:rsid w:val="00265081"/>
    <w:rsid w:val="002656B1"/>
    <w:rsid w:val="002659D5"/>
    <w:rsid w:val="002659EE"/>
    <w:rsid w:val="00265B46"/>
    <w:rsid w:val="00265D46"/>
    <w:rsid w:val="002667D4"/>
    <w:rsid w:val="002668FE"/>
    <w:rsid w:val="00272C63"/>
    <w:rsid w:val="0027341F"/>
    <w:rsid w:val="0028086E"/>
    <w:rsid w:val="00281878"/>
    <w:rsid w:val="00282024"/>
    <w:rsid w:val="00283009"/>
    <w:rsid w:val="00285780"/>
    <w:rsid w:val="00285EBA"/>
    <w:rsid w:val="0028607D"/>
    <w:rsid w:val="0028646E"/>
    <w:rsid w:val="0029008A"/>
    <w:rsid w:val="00290BAF"/>
    <w:rsid w:val="00291985"/>
    <w:rsid w:val="00291D23"/>
    <w:rsid w:val="00293CC8"/>
    <w:rsid w:val="002958CC"/>
    <w:rsid w:val="0029718A"/>
    <w:rsid w:val="00297255"/>
    <w:rsid w:val="002A2109"/>
    <w:rsid w:val="002A2A23"/>
    <w:rsid w:val="002A36AA"/>
    <w:rsid w:val="002A4298"/>
    <w:rsid w:val="002A458C"/>
    <w:rsid w:val="002A4DD1"/>
    <w:rsid w:val="002A54F4"/>
    <w:rsid w:val="002A5F62"/>
    <w:rsid w:val="002A7E1F"/>
    <w:rsid w:val="002B00CA"/>
    <w:rsid w:val="002B015D"/>
    <w:rsid w:val="002B0C09"/>
    <w:rsid w:val="002B15CF"/>
    <w:rsid w:val="002B161A"/>
    <w:rsid w:val="002B1D2E"/>
    <w:rsid w:val="002B202F"/>
    <w:rsid w:val="002B2047"/>
    <w:rsid w:val="002B2996"/>
    <w:rsid w:val="002B2DDE"/>
    <w:rsid w:val="002B382D"/>
    <w:rsid w:val="002B3C88"/>
    <w:rsid w:val="002B4709"/>
    <w:rsid w:val="002B559C"/>
    <w:rsid w:val="002B6287"/>
    <w:rsid w:val="002B6ED1"/>
    <w:rsid w:val="002B7BE1"/>
    <w:rsid w:val="002C0A59"/>
    <w:rsid w:val="002C0C3C"/>
    <w:rsid w:val="002C1B10"/>
    <w:rsid w:val="002C273F"/>
    <w:rsid w:val="002C2C46"/>
    <w:rsid w:val="002C2FE5"/>
    <w:rsid w:val="002C4809"/>
    <w:rsid w:val="002C4EF1"/>
    <w:rsid w:val="002C5984"/>
    <w:rsid w:val="002C5A7C"/>
    <w:rsid w:val="002C65CC"/>
    <w:rsid w:val="002C6ABE"/>
    <w:rsid w:val="002C7190"/>
    <w:rsid w:val="002C7335"/>
    <w:rsid w:val="002D1876"/>
    <w:rsid w:val="002D1A51"/>
    <w:rsid w:val="002D2790"/>
    <w:rsid w:val="002D27E7"/>
    <w:rsid w:val="002D30B6"/>
    <w:rsid w:val="002D3C7F"/>
    <w:rsid w:val="002D42D0"/>
    <w:rsid w:val="002D5579"/>
    <w:rsid w:val="002D561A"/>
    <w:rsid w:val="002D6417"/>
    <w:rsid w:val="002D6803"/>
    <w:rsid w:val="002D6AAF"/>
    <w:rsid w:val="002E0B5E"/>
    <w:rsid w:val="002E16CD"/>
    <w:rsid w:val="002E6715"/>
    <w:rsid w:val="002F1664"/>
    <w:rsid w:val="002F29BF"/>
    <w:rsid w:val="002F2D90"/>
    <w:rsid w:val="002F3486"/>
    <w:rsid w:val="002F3E86"/>
    <w:rsid w:val="0030044E"/>
    <w:rsid w:val="00300817"/>
    <w:rsid w:val="00300CC1"/>
    <w:rsid w:val="00302775"/>
    <w:rsid w:val="00302B69"/>
    <w:rsid w:val="00302F91"/>
    <w:rsid w:val="003031E2"/>
    <w:rsid w:val="00303751"/>
    <w:rsid w:val="00304FF9"/>
    <w:rsid w:val="003050A9"/>
    <w:rsid w:val="003057C1"/>
    <w:rsid w:val="003066A7"/>
    <w:rsid w:val="003103FA"/>
    <w:rsid w:val="00310608"/>
    <w:rsid w:val="003106D1"/>
    <w:rsid w:val="00310DCF"/>
    <w:rsid w:val="003139BD"/>
    <w:rsid w:val="0031463C"/>
    <w:rsid w:val="00314966"/>
    <w:rsid w:val="003152EB"/>
    <w:rsid w:val="003167AF"/>
    <w:rsid w:val="00316C1D"/>
    <w:rsid w:val="0031784E"/>
    <w:rsid w:val="003200AB"/>
    <w:rsid w:val="00320A08"/>
    <w:rsid w:val="00320D00"/>
    <w:rsid w:val="00323F22"/>
    <w:rsid w:val="003242BD"/>
    <w:rsid w:val="00325671"/>
    <w:rsid w:val="003263D5"/>
    <w:rsid w:val="00326430"/>
    <w:rsid w:val="0032775F"/>
    <w:rsid w:val="003318FD"/>
    <w:rsid w:val="00331B4F"/>
    <w:rsid w:val="00334413"/>
    <w:rsid w:val="0033445F"/>
    <w:rsid w:val="003349E4"/>
    <w:rsid w:val="00334C92"/>
    <w:rsid w:val="00336C3F"/>
    <w:rsid w:val="00336E6E"/>
    <w:rsid w:val="0034007E"/>
    <w:rsid w:val="003407E4"/>
    <w:rsid w:val="00342651"/>
    <w:rsid w:val="0034322D"/>
    <w:rsid w:val="00344994"/>
    <w:rsid w:val="00344A6A"/>
    <w:rsid w:val="00344B9A"/>
    <w:rsid w:val="003476A9"/>
    <w:rsid w:val="00351232"/>
    <w:rsid w:val="00351372"/>
    <w:rsid w:val="00351EBB"/>
    <w:rsid w:val="00352E75"/>
    <w:rsid w:val="0035318C"/>
    <w:rsid w:val="003532B1"/>
    <w:rsid w:val="003532C4"/>
    <w:rsid w:val="0035381A"/>
    <w:rsid w:val="00353FDA"/>
    <w:rsid w:val="00354CBE"/>
    <w:rsid w:val="00354FA1"/>
    <w:rsid w:val="00356633"/>
    <w:rsid w:val="00356924"/>
    <w:rsid w:val="00356A53"/>
    <w:rsid w:val="00356C68"/>
    <w:rsid w:val="0035715A"/>
    <w:rsid w:val="00357198"/>
    <w:rsid w:val="00360382"/>
    <w:rsid w:val="00360947"/>
    <w:rsid w:val="00361661"/>
    <w:rsid w:val="00364AA7"/>
    <w:rsid w:val="003658B7"/>
    <w:rsid w:val="00365BB0"/>
    <w:rsid w:val="00366A66"/>
    <w:rsid w:val="003678E8"/>
    <w:rsid w:val="00367D4D"/>
    <w:rsid w:val="00367F3C"/>
    <w:rsid w:val="00370E99"/>
    <w:rsid w:val="00371A7F"/>
    <w:rsid w:val="00371C42"/>
    <w:rsid w:val="00372EE7"/>
    <w:rsid w:val="00373FA5"/>
    <w:rsid w:val="003746E8"/>
    <w:rsid w:val="00374FD0"/>
    <w:rsid w:val="0037543C"/>
    <w:rsid w:val="00381B8F"/>
    <w:rsid w:val="00382596"/>
    <w:rsid w:val="00386343"/>
    <w:rsid w:val="00386EC3"/>
    <w:rsid w:val="003907C7"/>
    <w:rsid w:val="0039118D"/>
    <w:rsid w:val="0039181E"/>
    <w:rsid w:val="00392785"/>
    <w:rsid w:val="00392FF8"/>
    <w:rsid w:val="003932C1"/>
    <w:rsid w:val="00395884"/>
    <w:rsid w:val="00395CF5"/>
    <w:rsid w:val="00396327"/>
    <w:rsid w:val="003A0B9E"/>
    <w:rsid w:val="003A1D18"/>
    <w:rsid w:val="003A225B"/>
    <w:rsid w:val="003A3DDD"/>
    <w:rsid w:val="003A53C3"/>
    <w:rsid w:val="003A668C"/>
    <w:rsid w:val="003A6925"/>
    <w:rsid w:val="003B05DC"/>
    <w:rsid w:val="003B10AB"/>
    <w:rsid w:val="003B26FD"/>
    <w:rsid w:val="003B340D"/>
    <w:rsid w:val="003B3573"/>
    <w:rsid w:val="003B44EB"/>
    <w:rsid w:val="003B4BCD"/>
    <w:rsid w:val="003B5FBB"/>
    <w:rsid w:val="003B6212"/>
    <w:rsid w:val="003B6BF3"/>
    <w:rsid w:val="003C002D"/>
    <w:rsid w:val="003C072A"/>
    <w:rsid w:val="003C079A"/>
    <w:rsid w:val="003C0F0A"/>
    <w:rsid w:val="003C11EE"/>
    <w:rsid w:val="003C2138"/>
    <w:rsid w:val="003C228B"/>
    <w:rsid w:val="003C410A"/>
    <w:rsid w:val="003C4451"/>
    <w:rsid w:val="003C4D97"/>
    <w:rsid w:val="003C51D3"/>
    <w:rsid w:val="003C6901"/>
    <w:rsid w:val="003C6E20"/>
    <w:rsid w:val="003C6F10"/>
    <w:rsid w:val="003C78D4"/>
    <w:rsid w:val="003D03B9"/>
    <w:rsid w:val="003D069E"/>
    <w:rsid w:val="003D1870"/>
    <w:rsid w:val="003D359A"/>
    <w:rsid w:val="003D52B8"/>
    <w:rsid w:val="003D6731"/>
    <w:rsid w:val="003D6FE8"/>
    <w:rsid w:val="003D7DB4"/>
    <w:rsid w:val="003E0044"/>
    <w:rsid w:val="003E3210"/>
    <w:rsid w:val="003E44D7"/>
    <w:rsid w:val="003E5517"/>
    <w:rsid w:val="003E5C01"/>
    <w:rsid w:val="003E5E75"/>
    <w:rsid w:val="003E717B"/>
    <w:rsid w:val="003F2111"/>
    <w:rsid w:val="003F428E"/>
    <w:rsid w:val="003F4403"/>
    <w:rsid w:val="003F4885"/>
    <w:rsid w:val="003F4A35"/>
    <w:rsid w:val="003F6F72"/>
    <w:rsid w:val="003F77F3"/>
    <w:rsid w:val="00402040"/>
    <w:rsid w:val="00404B5C"/>
    <w:rsid w:val="0040630F"/>
    <w:rsid w:val="004063FA"/>
    <w:rsid w:val="004066F6"/>
    <w:rsid w:val="00406932"/>
    <w:rsid w:val="00411C5F"/>
    <w:rsid w:val="00414765"/>
    <w:rsid w:val="00414F8C"/>
    <w:rsid w:val="00415323"/>
    <w:rsid w:val="00416906"/>
    <w:rsid w:val="00421456"/>
    <w:rsid w:val="0042182D"/>
    <w:rsid w:val="004230B7"/>
    <w:rsid w:val="00423B16"/>
    <w:rsid w:val="00423E7B"/>
    <w:rsid w:val="004247D1"/>
    <w:rsid w:val="00425F19"/>
    <w:rsid w:val="0042712B"/>
    <w:rsid w:val="004276CB"/>
    <w:rsid w:val="00430A2B"/>
    <w:rsid w:val="00430A75"/>
    <w:rsid w:val="00431D56"/>
    <w:rsid w:val="00432050"/>
    <w:rsid w:val="004332C9"/>
    <w:rsid w:val="004335E2"/>
    <w:rsid w:val="00434D00"/>
    <w:rsid w:val="00434EDA"/>
    <w:rsid w:val="00435A96"/>
    <w:rsid w:val="00435E81"/>
    <w:rsid w:val="00436638"/>
    <w:rsid w:val="0043718E"/>
    <w:rsid w:val="004372B3"/>
    <w:rsid w:val="00441E5C"/>
    <w:rsid w:val="00442260"/>
    <w:rsid w:val="00442C4B"/>
    <w:rsid w:val="00443707"/>
    <w:rsid w:val="00445062"/>
    <w:rsid w:val="00445AE3"/>
    <w:rsid w:val="004462F2"/>
    <w:rsid w:val="00446C4E"/>
    <w:rsid w:val="004470B8"/>
    <w:rsid w:val="004476FB"/>
    <w:rsid w:val="00447B08"/>
    <w:rsid w:val="00450BD9"/>
    <w:rsid w:val="004514E0"/>
    <w:rsid w:val="004515B1"/>
    <w:rsid w:val="00451DFE"/>
    <w:rsid w:val="004521A0"/>
    <w:rsid w:val="00454EBB"/>
    <w:rsid w:val="0045606C"/>
    <w:rsid w:val="00456931"/>
    <w:rsid w:val="00462321"/>
    <w:rsid w:val="00462355"/>
    <w:rsid w:val="00463779"/>
    <w:rsid w:val="00463BFB"/>
    <w:rsid w:val="0046588D"/>
    <w:rsid w:val="00466E54"/>
    <w:rsid w:val="0046768B"/>
    <w:rsid w:val="004701EE"/>
    <w:rsid w:val="00470634"/>
    <w:rsid w:val="00472ACC"/>
    <w:rsid w:val="0047306E"/>
    <w:rsid w:val="00473709"/>
    <w:rsid w:val="00473A27"/>
    <w:rsid w:val="004743BB"/>
    <w:rsid w:val="00475D1A"/>
    <w:rsid w:val="0047678A"/>
    <w:rsid w:val="00476D30"/>
    <w:rsid w:val="004805DE"/>
    <w:rsid w:val="00480D97"/>
    <w:rsid w:val="0048219F"/>
    <w:rsid w:val="00482D9B"/>
    <w:rsid w:val="0048334D"/>
    <w:rsid w:val="00483509"/>
    <w:rsid w:val="00483CD9"/>
    <w:rsid w:val="00484381"/>
    <w:rsid w:val="0048497B"/>
    <w:rsid w:val="00484CBD"/>
    <w:rsid w:val="00485887"/>
    <w:rsid w:val="004875E9"/>
    <w:rsid w:val="004923E2"/>
    <w:rsid w:val="00494F66"/>
    <w:rsid w:val="004962F7"/>
    <w:rsid w:val="00496C71"/>
    <w:rsid w:val="00496F38"/>
    <w:rsid w:val="00497538"/>
    <w:rsid w:val="0049771C"/>
    <w:rsid w:val="00497B4F"/>
    <w:rsid w:val="004A118C"/>
    <w:rsid w:val="004A1C19"/>
    <w:rsid w:val="004A1FD4"/>
    <w:rsid w:val="004A279C"/>
    <w:rsid w:val="004A2A2D"/>
    <w:rsid w:val="004A3B38"/>
    <w:rsid w:val="004A4653"/>
    <w:rsid w:val="004A5C7D"/>
    <w:rsid w:val="004A5E02"/>
    <w:rsid w:val="004A677E"/>
    <w:rsid w:val="004A7647"/>
    <w:rsid w:val="004A7AF5"/>
    <w:rsid w:val="004B1FD7"/>
    <w:rsid w:val="004B23A6"/>
    <w:rsid w:val="004B3E10"/>
    <w:rsid w:val="004B4247"/>
    <w:rsid w:val="004B4EE2"/>
    <w:rsid w:val="004B59E1"/>
    <w:rsid w:val="004B70E3"/>
    <w:rsid w:val="004B72F0"/>
    <w:rsid w:val="004B7AAB"/>
    <w:rsid w:val="004C077E"/>
    <w:rsid w:val="004C1AB3"/>
    <w:rsid w:val="004C204E"/>
    <w:rsid w:val="004C28CE"/>
    <w:rsid w:val="004C2B98"/>
    <w:rsid w:val="004C460B"/>
    <w:rsid w:val="004C4D03"/>
    <w:rsid w:val="004C5225"/>
    <w:rsid w:val="004C53A6"/>
    <w:rsid w:val="004C6E0C"/>
    <w:rsid w:val="004C7375"/>
    <w:rsid w:val="004C7B8A"/>
    <w:rsid w:val="004D041C"/>
    <w:rsid w:val="004D2514"/>
    <w:rsid w:val="004D3DA1"/>
    <w:rsid w:val="004D4AA4"/>
    <w:rsid w:val="004D5EEA"/>
    <w:rsid w:val="004D60BE"/>
    <w:rsid w:val="004D6ED3"/>
    <w:rsid w:val="004D75FC"/>
    <w:rsid w:val="004D77BE"/>
    <w:rsid w:val="004E0973"/>
    <w:rsid w:val="004E1939"/>
    <w:rsid w:val="004E1BBC"/>
    <w:rsid w:val="004E1F47"/>
    <w:rsid w:val="004E26AC"/>
    <w:rsid w:val="004E2F25"/>
    <w:rsid w:val="004E4C24"/>
    <w:rsid w:val="004E6597"/>
    <w:rsid w:val="004F01C4"/>
    <w:rsid w:val="004F030E"/>
    <w:rsid w:val="004F044F"/>
    <w:rsid w:val="004F1455"/>
    <w:rsid w:val="004F15BE"/>
    <w:rsid w:val="004F1896"/>
    <w:rsid w:val="004F2F66"/>
    <w:rsid w:val="004F37F0"/>
    <w:rsid w:val="004F422E"/>
    <w:rsid w:val="004F440F"/>
    <w:rsid w:val="004F5285"/>
    <w:rsid w:val="004F52E2"/>
    <w:rsid w:val="004F67D2"/>
    <w:rsid w:val="004F7087"/>
    <w:rsid w:val="004F71F6"/>
    <w:rsid w:val="00503C95"/>
    <w:rsid w:val="00503DCE"/>
    <w:rsid w:val="00503F74"/>
    <w:rsid w:val="0050474C"/>
    <w:rsid w:val="00505E79"/>
    <w:rsid w:val="00505EC7"/>
    <w:rsid w:val="005068CC"/>
    <w:rsid w:val="00506914"/>
    <w:rsid w:val="00507DDD"/>
    <w:rsid w:val="00510772"/>
    <w:rsid w:val="00510BE9"/>
    <w:rsid w:val="00511150"/>
    <w:rsid w:val="00512136"/>
    <w:rsid w:val="00512158"/>
    <w:rsid w:val="00512CE8"/>
    <w:rsid w:val="00512EE5"/>
    <w:rsid w:val="00513055"/>
    <w:rsid w:val="005156B1"/>
    <w:rsid w:val="00515745"/>
    <w:rsid w:val="00515A3D"/>
    <w:rsid w:val="00515F52"/>
    <w:rsid w:val="00516ED7"/>
    <w:rsid w:val="005177C0"/>
    <w:rsid w:val="00520598"/>
    <w:rsid w:val="005205B1"/>
    <w:rsid w:val="0052089A"/>
    <w:rsid w:val="00522669"/>
    <w:rsid w:val="00523669"/>
    <w:rsid w:val="0052647E"/>
    <w:rsid w:val="005304C9"/>
    <w:rsid w:val="00531721"/>
    <w:rsid w:val="00532A76"/>
    <w:rsid w:val="00533165"/>
    <w:rsid w:val="00535138"/>
    <w:rsid w:val="00535E0F"/>
    <w:rsid w:val="00535E8A"/>
    <w:rsid w:val="0053643E"/>
    <w:rsid w:val="00537248"/>
    <w:rsid w:val="00537419"/>
    <w:rsid w:val="00537917"/>
    <w:rsid w:val="00541107"/>
    <w:rsid w:val="00541F01"/>
    <w:rsid w:val="005420F2"/>
    <w:rsid w:val="005430AD"/>
    <w:rsid w:val="00546A24"/>
    <w:rsid w:val="00547BAF"/>
    <w:rsid w:val="00550394"/>
    <w:rsid w:val="00551650"/>
    <w:rsid w:val="00552E57"/>
    <w:rsid w:val="005531E7"/>
    <w:rsid w:val="005538F6"/>
    <w:rsid w:val="00553DC5"/>
    <w:rsid w:val="00554EB6"/>
    <w:rsid w:val="00555492"/>
    <w:rsid w:val="00557333"/>
    <w:rsid w:val="00557370"/>
    <w:rsid w:val="0055769A"/>
    <w:rsid w:val="0056064C"/>
    <w:rsid w:val="00560705"/>
    <w:rsid w:val="00560929"/>
    <w:rsid w:val="005611DB"/>
    <w:rsid w:val="00561F0C"/>
    <w:rsid w:val="00562E0C"/>
    <w:rsid w:val="00562F74"/>
    <w:rsid w:val="00563036"/>
    <w:rsid w:val="00563AC9"/>
    <w:rsid w:val="00564BF7"/>
    <w:rsid w:val="00564DB2"/>
    <w:rsid w:val="00564FEE"/>
    <w:rsid w:val="005650FA"/>
    <w:rsid w:val="005655B4"/>
    <w:rsid w:val="0056679C"/>
    <w:rsid w:val="0056750E"/>
    <w:rsid w:val="00567941"/>
    <w:rsid w:val="00570913"/>
    <w:rsid w:val="0057103F"/>
    <w:rsid w:val="005723B4"/>
    <w:rsid w:val="00572E1A"/>
    <w:rsid w:val="00576711"/>
    <w:rsid w:val="005769CE"/>
    <w:rsid w:val="00580F2D"/>
    <w:rsid w:val="00581804"/>
    <w:rsid w:val="00583ED8"/>
    <w:rsid w:val="00584E4F"/>
    <w:rsid w:val="00585859"/>
    <w:rsid w:val="00586D77"/>
    <w:rsid w:val="00587309"/>
    <w:rsid w:val="00590378"/>
    <w:rsid w:val="00590731"/>
    <w:rsid w:val="00590B00"/>
    <w:rsid w:val="0059159D"/>
    <w:rsid w:val="005915D8"/>
    <w:rsid w:val="005922F5"/>
    <w:rsid w:val="005938BF"/>
    <w:rsid w:val="0059442D"/>
    <w:rsid w:val="0059523D"/>
    <w:rsid w:val="005967B1"/>
    <w:rsid w:val="00596EE4"/>
    <w:rsid w:val="005970FB"/>
    <w:rsid w:val="005A0118"/>
    <w:rsid w:val="005A05C8"/>
    <w:rsid w:val="005A0B25"/>
    <w:rsid w:val="005A0CE1"/>
    <w:rsid w:val="005A206E"/>
    <w:rsid w:val="005A209C"/>
    <w:rsid w:val="005A2C63"/>
    <w:rsid w:val="005A3209"/>
    <w:rsid w:val="005A4CF5"/>
    <w:rsid w:val="005A56EB"/>
    <w:rsid w:val="005A59D2"/>
    <w:rsid w:val="005A5B3E"/>
    <w:rsid w:val="005A61D5"/>
    <w:rsid w:val="005A7816"/>
    <w:rsid w:val="005B1CE2"/>
    <w:rsid w:val="005B22F5"/>
    <w:rsid w:val="005B3385"/>
    <w:rsid w:val="005B4E4B"/>
    <w:rsid w:val="005B54E4"/>
    <w:rsid w:val="005B5A0C"/>
    <w:rsid w:val="005B6240"/>
    <w:rsid w:val="005B79F5"/>
    <w:rsid w:val="005C156F"/>
    <w:rsid w:val="005C20DB"/>
    <w:rsid w:val="005C291A"/>
    <w:rsid w:val="005C3FB8"/>
    <w:rsid w:val="005C4A83"/>
    <w:rsid w:val="005C66A6"/>
    <w:rsid w:val="005C694D"/>
    <w:rsid w:val="005C6F0C"/>
    <w:rsid w:val="005C71C8"/>
    <w:rsid w:val="005D2FE9"/>
    <w:rsid w:val="005D3868"/>
    <w:rsid w:val="005D5039"/>
    <w:rsid w:val="005D551F"/>
    <w:rsid w:val="005D5585"/>
    <w:rsid w:val="005D5701"/>
    <w:rsid w:val="005D5EC8"/>
    <w:rsid w:val="005E0329"/>
    <w:rsid w:val="005E05A9"/>
    <w:rsid w:val="005E2605"/>
    <w:rsid w:val="005E3308"/>
    <w:rsid w:val="005E4558"/>
    <w:rsid w:val="005E59C6"/>
    <w:rsid w:val="005E65E6"/>
    <w:rsid w:val="005E6703"/>
    <w:rsid w:val="005F004F"/>
    <w:rsid w:val="005F04DC"/>
    <w:rsid w:val="005F08DD"/>
    <w:rsid w:val="005F1066"/>
    <w:rsid w:val="005F1125"/>
    <w:rsid w:val="005F22CB"/>
    <w:rsid w:val="005F26EF"/>
    <w:rsid w:val="005F3251"/>
    <w:rsid w:val="005F38E1"/>
    <w:rsid w:val="005F3E9E"/>
    <w:rsid w:val="005F4A4D"/>
    <w:rsid w:val="005F5F00"/>
    <w:rsid w:val="005F6083"/>
    <w:rsid w:val="005F6331"/>
    <w:rsid w:val="005F6573"/>
    <w:rsid w:val="005F73BA"/>
    <w:rsid w:val="006024A7"/>
    <w:rsid w:val="00602FD5"/>
    <w:rsid w:val="006031EF"/>
    <w:rsid w:val="00604AFA"/>
    <w:rsid w:val="00605A81"/>
    <w:rsid w:val="00605BB0"/>
    <w:rsid w:val="00607233"/>
    <w:rsid w:val="00611CDD"/>
    <w:rsid w:val="006121E7"/>
    <w:rsid w:val="00613269"/>
    <w:rsid w:val="00614060"/>
    <w:rsid w:val="00615138"/>
    <w:rsid w:val="00615220"/>
    <w:rsid w:val="00617598"/>
    <w:rsid w:val="00621920"/>
    <w:rsid w:val="00622057"/>
    <w:rsid w:val="006234AA"/>
    <w:rsid w:val="006236F9"/>
    <w:rsid w:val="006240F3"/>
    <w:rsid w:val="00624BBC"/>
    <w:rsid w:val="006256A6"/>
    <w:rsid w:val="00625C2B"/>
    <w:rsid w:val="00625C9B"/>
    <w:rsid w:val="00626333"/>
    <w:rsid w:val="006271E2"/>
    <w:rsid w:val="00627404"/>
    <w:rsid w:val="006305AE"/>
    <w:rsid w:val="006306BA"/>
    <w:rsid w:val="006314DB"/>
    <w:rsid w:val="00631EE7"/>
    <w:rsid w:val="00632A52"/>
    <w:rsid w:val="0063335D"/>
    <w:rsid w:val="006355F7"/>
    <w:rsid w:val="00637608"/>
    <w:rsid w:val="0063785E"/>
    <w:rsid w:val="006418D5"/>
    <w:rsid w:val="006419E5"/>
    <w:rsid w:val="00642394"/>
    <w:rsid w:val="00642413"/>
    <w:rsid w:val="006425CE"/>
    <w:rsid w:val="00643E3D"/>
    <w:rsid w:val="00644D30"/>
    <w:rsid w:val="0064552E"/>
    <w:rsid w:val="00650039"/>
    <w:rsid w:val="006523B3"/>
    <w:rsid w:val="00652D02"/>
    <w:rsid w:val="0065526C"/>
    <w:rsid w:val="00655D19"/>
    <w:rsid w:val="00656D3B"/>
    <w:rsid w:val="00657ED6"/>
    <w:rsid w:val="0066006E"/>
    <w:rsid w:val="0066179A"/>
    <w:rsid w:val="00661C36"/>
    <w:rsid w:val="00662A4F"/>
    <w:rsid w:val="00662D96"/>
    <w:rsid w:val="0066350E"/>
    <w:rsid w:val="00663D2C"/>
    <w:rsid w:val="0066402B"/>
    <w:rsid w:val="00664C71"/>
    <w:rsid w:val="006650FE"/>
    <w:rsid w:val="00666093"/>
    <w:rsid w:val="00666286"/>
    <w:rsid w:val="00666782"/>
    <w:rsid w:val="00666E24"/>
    <w:rsid w:val="00667FB1"/>
    <w:rsid w:val="006709B5"/>
    <w:rsid w:val="00670C74"/>
    <w:rsid w:val="00671BFD"/>
    <w:rsid w:val="006720BE"/>
    <w:rsid w:val="00672449"/>
    <w:rsid w:val="0067368A"/>
    <w:rsid w:val="006742A9"/>
    <w:rsid w:val="00674CC7"/>
    <w:rsid w:val="00675373"/>
    <w:rsid w:val="006759C1"/>
    <w:rsid w:val="00680FB6"/>
    <w:rsid w:val="0068173C"/>
    <w:rsid w:val="0068175F"/>
    <w:rsid w:val="00682798"/>
    <w:rsid w:val="00682E81"/>
    <w:rsid w:val="0068334D"/>
    <w:rsid w:val="00684117"/>
    <w:rsid w:val="00684AAF"/>
    <w:rsid w:val="00684E3A"/>
    <w:rsid w:val="006852C7"/>
    <w:rsid w:val="00685DFD"/>
    <w:rsid w:val="0068687A"/>
    <w:rsid w:val="0068755F"/>
    <w:rsid w:val="0069082E"/>
    <w:rsid w:val="00690BEB"/>
    <w:rsid w:val="00690F39"/>
    <w:rsid w:val="00691CFA"/>
    <w:rsid w:val="0069484C"/>
    <w:rsid w:val="00695695"/>
    <w:rsid w:val="0069583D"/>
    <w:rsid w:val="00696A1A"/>
    <w:rsid w:val="00696A42"/>
    <w:rsid w:val="006A11A2"/>
    <w:rsid w:val="006A1264"/>
    <w:rsid w:val="006A2EB7"/>
    <w:rsid w:val="006A4402"/>
    <w:rsid w:val="006A45A3"/>
    <w:rsid w:val="006A49F9"/>
    <w:rsid w:val="006A5637"/>
    <w:rsid w:val="006A59EB"/>
    <w:rsid w:val="006A6489"/>
    <w:rsid w:val="006A6821"/>
    <w:rsid w:val="006A6C73"/>
    <w:rsid w:val="006A75CD"/>
    <w:rsid w:val="006B040D"/>
    <w:rsid w:val="006B058A"/>
    <w:rsid w:val="006B0F6D"/>
    <w:rsid w:val="006B12B2"/>
    <w:rsid w:val="006B13D4"/>
    <w:rsid w:val="006B293D"/>
    <w:rsid w:val="006B30B9"/>
    <w:rsid w:val="006B48E6"/>
    <w:rsid w:val="006B5368"/>
    <w:rsid w:val="006B723A"/>
    <w:rsid w:val="006C0D76"/>
    <w:rsid w:val="006C13BA"/>
    <w:rsid w:val="006C1B53"/>
    <w:rsid w:val="006C2580"/>
    <w:rsid w:val="006C2E72"/>
    <w:rsid w:val="006C41E6"/>
    <w:rsid w:val="006C4A7B"/>
    <w:rsid w:val="006C50B6"/>
    <w:rsid w:val="006C5D5F"/>
    <w:rsid w:val="006D05A6"/>
    <w:rsid w:val="006D1FC0"/>
    <w:rsid w:val="006D253B"/>
    <w:rsid w:val="006D29BB"/>
    <w:rsid w:val="006D3402"/>
    <w:rsid w:val="006D3795"/>
    <w:rsid w:val="006D3934"/>
    <w:rsid w:val="006D45E0"/>
    <w:rsid w:val="006D4E67"/>
    <w:rsid w:val="006D5283"/>
    <w:rsid w:val="006D57A3"/>
    <w:rsid w:val="006D6C0F"/>
    <w:rsid w:val="006D74E7"/>
    <w:rsid w:val="006D752D"/>
    <w:rsid w:val="006E02DD"/>
    <w:rsid w:val="006E0C34"/>
    <w:rsid w:val="006E2731"/>
    <w:rsid w:val="006E32DA"/>
    <w:rsid w:val="006E5EBE"/>
    <w:rsid w:val="006E71FA"/>
    <w:rsid w:val="006E7820"/>
    <w:rsid w:val="006E7979"/>
    <w:rsid w:val="006F11C3"/>
    <w:rsid w:val="006F198A"/>
    <w:rsid w:val="006F3413"/>
    <w:rsid w:val="006F40D4"/>
    <w:rsid w:val="006F5DDC"/>
    <w:rsid w:val="006F61E7"/>
    <w:rsid w:val="006F7F9D"/>
    <w:rsid w:val="007008FC"/>
    <w:rsid w:val="00700A64"/>
    <w:rsid w:val="007025C3"/>
    <w:rsid w:val="007032AB"/>
    <w:rsid w:val="00703450"/>
    <w:rsid w:val="00703E63"/>
    <w:rsid w:val="007040FA"/>
    <w:rsid w:val="00704329"/>
    <w:rsid w:val="0070457B"/>
    <w:rsid w:val="00705960"/>
    <w:rsid w:val="00705BE1"/>
    <w:rsid w:val="00706B7F"/>
    <w:rsid w:val="00707AA4"/>
    <w:rsid w:val="00707FE7"/>
    <w:rsid w:val="00710C3A"/>
    <w:rsid w:val="007119DC"/>
    <w:rsid w:val="0071333C"/>
    <w:rsid w:val="007140A9"/>
    <w:rsid w:val="007148BB"/>
    <w:rsid w:val="0071492B"/>
    <w:rsid w:val="00715A2E"/>
    <w:rsid w:val="00715BD2"/>
    <w:rsid w:val="0071626C"/>
    <w:rsid w:val="00716EED"/>
    <w:rsid w:val="00717823"/>
    <w:rsid w:val="007206F9"/>
    <w:rsid w:val="00720B14"/>
    <w:rsid w:val="00721649"/>
    <w:rsid w:val="007227C5"/>
    <w:rsid w:val="00722D71"/>
    <w:rsid w:val="00722E81"/>
    <w:rsid w:val="00723C08"/>
    <w:rsid w:val="007244A4"/>
    <w:rsid w:val="00726736"/>
    <w:rsid w:val="00726C1C"/>
    <w:rsid w:val="00727E85"/>
    <w:rsid w:val="007300CB"/>
    <w:rsid w:val="00730751"/>
    <w:rsid w:val="0073107A"/>
    <w:rsid w:val="00731E6F"/>
    <w:rsid w:val="0073349E"/>
    <w:rsid w:val="007334EA"/>
    <w:rsid w:val="00733940"/>
    <w:rsid w:val="00733EED"/>
    <w:rsid w:val="007345AF"/>
    <w:rsid w:val="00735005"/>
    <w:rsid w:val="00735401"/>
    <w:rsid w:val="00736694"/>
    <w:rsid w:val="00736DCA"/>
    <w:rsid w:val="00740534"/>
    <w:rsid w:val="007407D5"/>
    <w:rsid w:val="00740E50"/>
    <w:rsid w:val="0074200E"/>
    <w:rsid w:val="00743CE1"/>
    <w:rsid w:val="0074412F"/>
    <w:rsid w:val="00746721"/>
    <w:rsid w:val="00746C94"/>
    <w:rsid w:val="0074758B"/>
    <w:rsid w:val="00747E56"/>
    <w:rsid w:val="0075009B"/>
    <w:rsid w:val="00753156"/>
    <w:rsid w:val="00753BAC"/>
    <w:rsid w:val="007553C1"/>
    <w:rsid w:val="007553E5"/>
    <w:rsid w:val="00755C10"/>
    <w:rsid w:val="00756F13"/>
    <w:rsid w:val="00761BBE"/>
    <w:rsid w:val="00762AE8"/>
    <w:rsid w:val="0076458C"/>
    <w:rsid w:val="00764EAD"/>
    <w:rsid w:val="007659D7"/>
    <w:rsid w:val="00765A07"/>
    <w:rsid w:val="00765A58"/>
    <w:rsid w:val="00766756"/>
    <w:rsid w:val="007668D6"/>
    <w:rsid w:val="007671BA"/>
    <w:rsid w:val="0076734A"/>
    <w:rsid w:val="00771340"/>
    <w:rsid w:val="00771AF5"/>
    <w:rsid w:val="00774BE3"/>
    <w:rsid w:val="007751E8"/>
    <w:rsid w:val="00775338"/>
    <w:rsid w:val="007754D7"/>
    <w:rsid w:val="00776848"/>
    <w:rsid w:val="00780EFC"/>
    <w:rsid w:val="0078196D"/>
    <w:rsid w:val="00783751"/>
    <w:rsid w:val="00784F6A"/>
    <w:rsid w:val="0078500E"/>
    <w:rsid w:val="007853F5"/>
    <w:rsid w:val="00786C61"/>
    <w:rsid w:val="00787970"/>
    <w:rsid w:val="00793F47"/>
    <w:rsid w:val="00796045"/>
    <w:rsid w:val="007971C1"/>
    <w:rsid w:val="00797AE1"/>
    <w:rsid w:val="007A04DA"/>
    <w:rsid w:val="007A0F38"/>
    <w:rsid w:val="007A0FC7"/>
    <w:rsid w:val="007A1EBE"/>
    <w:rsid w:val="007A23B9"/>
    <w:rsid w:val="007A2787"/>
    <w:rsid w:val="007A42D5"/>
    <w:rsid w:val="007A62D0"/>
    <w:rsid w:val="007A7140"/>
    <w:rsid w:val="007A7247"/>
    <w:rsid w:val="007A7EBD"/>
    <w:rsid w:val="007A7ED7"/>
    <w:rsid w:val="007B0359"/>
    <w:rsid w:val="007B0AD9"/>
    <w:rsid w:val="007B178E"/>
    <w:rsid w:val="007B1B95"/>
    <w:rsid w:val="007B4341"/>
    <w:rsid w:val="007B5061"/>
    <w:rsid w:val="007B55D5"/>
    <w:rsid w:val="007B58CE"/>
    <w:rsid w:val="007B60F1"/>
    <w:rsid w:val="007B6395"/>
    <w:rsid w:val="007C0F4A"/>
    <w:rsid w:val="007C2280"/>
    <w:rsid w:val="007C4292"/>
    <w:rsid w:val="007C4A5D"/>
    <w:rsid w:val="007C5558"/>
    <w:rsid w:val="007C65DA"/>
    <w:rsid w:val="007C750F"/>
    <w:rsid w:val="007C77BC"/>
    <w:rsid w:val="007C7969"/>
    <w:rsid w:val="007D07E3"/>
    <w:rsid w:val="007D0DB3"/>
    <w:rsid w:val="007D2021"/>
    <w:rsid w:val="007D22B3"/>
    <w:rsid w:val="007D2B41"/>
    <w:rsid w:val="007D4E7F"/>
    <w:rsid w:val="007D5AC9"/>
    <w:rsid w:val="007E1020"/>
    <w:rsid w:val="007E12C0"/>
    <w:rsid w:val="007E1698"/>
    <w:rsid w:val="007E16E5"/>
    <w:rsid w:val="007E1DB9"/>
    <w:rsid w:val="007E2135"/>
    <w:rsid w:val="007E29D9"/>
    <w:rsid w:val="007E32C8"/>
    <w:rsid w:val="007E375E"/>
    <w:rsid w:val="007E518E"/>
    <w:rsid w:val="007F2922"/>
    <w:rsid w:val="007F4656"/>
    <w:rsid w:val="007F7E8B"/>
    <w:rsid w:val="0080009F"/>
    <w:rsid w:val="0080049C"/>
    <w:rsid w:val="00800A4D"/>
    <w:rsid w:val="00803510"/>
    <w:rsid w:val="00803640"/>
    <w:rsid w:val="00804063"/>
    <w:rsid w:val="008041C8"/>
    <w:rsid w:val="008047B0"/>
    <w:rsid w:val="00804A32"/>
    <w:rsid w:val="00805689"/>
    <w:rsid w:val="008060B6"/>
    <w:rsid w:val="00806BDD"/>
    <w:rsid w:val="008071D5"/>
    <w:rsid w:val="0080783F"/>
    <w:rsid w:val="008104AA"/>
    <w:rsid w:val="00810EE4"/>
    <w:rsid w:val="00812E62"/>
    <w:rsid w:val="00812EE8"/>
    <w:rsid w:val="0081493B"/>
    <w:rsid w:val="00814D5C"/>
    <w:rsid w:val="0081553B"/>
    <w:rsid w:val="00816F6C"/>
    <w:rsid w:val="00816FD4"/>
    <w:rsid w:val="008171C2"/>
    <w:rsid w:val="00817F71"/>
    <w:rsid w:val="008212A7"/>
    <w:rsid w:val="00823B7B"/>
    <w:rsid w:val="0082433B"/>
    <w:rsid w:val="00824D08"/>
    <w:rsid w:val="0082582E"/>
    <w:rsid w:val="00827AC0"/>
    <w:rsid w:val="00830B8C"/>
    <w:rsid w:val="00831CCC"/>
    <w:rsid w:val="00834FD5"/>
    <w:rsid w:val="00835B91"/>
    <w:rsid w:val="00836ECA"/>
    <w:rsid w:val="008434D7"/>
    <w:rsid w:val="00844946"/>
    <w:rsid w:val="0084573E"/>
    <w:rsid w:val="00846FDA"/>
    <w:rsid w:val="008471B3"/>
    <w:rsid w:val="008478BD"/>
    <w:rsid w:val="008479B9"/>
    <w:rsid w:val="00847C9E"/>
    <w:rsid w:val="00850BB6"/>
    <w:rsid w:val="0085164D"/>
    <w:rsid w:val="00851C72"/>
    <w:rsid w:val="0085313D"/>
    <w:rsid w:val="00854322"/>
    <w:rsid w:val="00854481"/>
    <w:rsid w:val="008554BE"/>
    <w:rsid w:val="00855514"/>
    <w:rsid w:val="00856078"/>
    <w:rsid w:val="0085638E"/>
    <w:rsid w:val="00856C81"/>
    <w:rsid w:val="00857107"/>
    <w:rsid w:val="00857563"/>
    <w:rsid w:val="00857D32"/>
    <w:rsid w:val="0086064D"/>
    <w:rsid w:val="0086247D"/>
    <w:rsid w:val="008629B5"/>
    <w:rsid w:val="00863B45"/>
    <w:rsid w:val="008648C6"/>
    <w:rsid w:val="00865066"/>
    <w:rsid w:val="008650F0"/>
    <w:rsid w:val="0086560A"/>
    <w:rsid w:val="00870135"/>
    <w:rsid w:val="00873936"/>
    <w:rsid w:val="00874541"/>
    <w:rsid w:val="00874738"/>
    <w:rsid w:val="00874DBA"/>
    <w:rsid w:val="00875198"/>
    <w:rsid w:val="00875828"/>
    <w:rsid w:val="00875C09"/>
    <w:rsid w:val="00875D4C"/>
    <w:rsid w:val="00876337"/>
    <w:rsid w:val="008764D1"/>
    <w:rsid w:val="008766BE"/>
    <w:rsid w:val="00880330"/>
    <w:rsid w:val="00882967"/>
    <w:rsid w:val="00882C67"/>
    <w:rsid w:val="0088500C"/>
    <w:rsid w:val="00886772"/>
    <w:rsid w:val="00886E93"/>
    <w:rsid w:val="008873DB"/>
    <w:rsid w:val="008875DE"/>
    <w:rsid w:val="00891FD0"/>
    <w:rsid w:val="00892CEB"/>
    <w:rsid w:val="00892F93"/>
    <w:rsid w:val="00894537"/>
    <w:rsid w:val="00895291"/>
    <w:rsid w:val="008953EE"/>
    <w:rsid w:val="008958BA"/>
    <w:rsid w:val="00895E83"/>
    <w:rsid w:val="008964A7"/>
    <w:rsid w:val="00896D01"/>
    <w:rsid w:val="008A08D1"/>
    <w:rsid w:val="008A0934"/>
    <w:rsid w:val="008A099A"/>
    <w:rsid w:val="008A1684"/>
    <w:rsid w:val="008A2B82"/>
    <w:rsid w:val="008A41D3"/>
    <w:rsid w:val="008A5EED"/>
    <w:rsid w:val="008A6251"/>
    <w:rsid w:val="008A65C2"/>
    <w:rsid w:val="008A6614"/>
    <w:rsid w:val="008A6FA5"/>
    <w:rsid w:val="008A7AD3"/>
    <w:rsid w:val="008B01E5"/>
    <w:rsid w:val="008B0CA2"/>
    <w:rsid w:val="008B0CA5"/>
    <w:rsid w:val="008B47A3"/>
    <w:rsid w:val="008B6068"/>
    <w:rsid w:val="008B76EC"/>
    <w:rsid w:val="008C2603"/>
    <w:rsid w:val="008C263B"/>
    <w:rsid w:val="008C2CDA"/>
    <w:rsid w:val="008C39FA"/>
    <w:rsid w:val="008C4AA8"/>
    <w:rsid w:val="008C4B33"/>
    <w:rsid w:val="008C5636"/>
    <w:rsid w:val="008C7EAE"/>
    <w:rsid w:val="008D0427"/>
    <w:rsid w:val="008D2EBD"/>
    <w:rsid w:val="008D2FFA"/>
    <w:rsid w:val="008D3488"/>
    <w:rsid w:val="008D4A98"/>
    <w:rsid w:val="008D4B8E"/>
    <w:rsid w:val="008D62C5"/>
    <w:rsid w:val="008D651F"/>
    <w:rsid w:val="008D701B"/>
    <w:rsid w:val="008D7F3C"/>
    <w:rsid w:val="008E0581"/>
    <w:rsid w:val="008E18D3"/>
    <w:rsid w:val="008E1F4C"/>
    <w:rsid w:val="008E1FC6"/>
    <w:rsid w:val="008E23A9"/>
    <w:rsid w:val="008E297F"/>
    <w:rsid w:val="008E3361"/>
    <w:rsid w:val="008E3EDB"/>
    <w:rsid w:val="008E42D8"/>
    <w:rsid w:val="008E4DE0"/>
    <w:rsid w:val="008E530C"/>
    <w:rsid w:val="008E616A"/>
    <w:rsid w:val="008E662F"/>
    <w:rsid w:val="008F2FCE"/>
    <w:rsid w:val="008F3229"/>
    <w:rsid w:val="008F42EB"/>
    <w:rsid w:val="008F4E3F"/>
    <w:rsid w:val="008F70F7"/>
    <w:rsid w:val="008F7427"/>
    <w:rsid w:val="00900499"/>
    <w:rsid w:val="009006FC"/>
    <w:rsid w:val="00900EFA"/>
    <w:rsid w:val="009021F3"/>
    <w:rsid w:val="00902E5E"/>
    <w:rsid w:val="00903066"/>
    <w:rsid w:val="009037F9"/>
    <w:rsid w:val="00904CA8"/>
    <w:rsid w:val="00905044"/>
    <w:rsid w:val="0090555D"/>
    <w:rsid w:val="009057E1"/>
    <w:rsid w:val="00905BEB"/>
    <w:rsid w:val="00905CE3"/>
    <w:rsid w:val="00907398"/>
    <w:rsid w:val="00907C1A"/>
    <w:rsid w:val="009107B3"/>
    <w:rsid w:val="00910F2A"/>
    <w:rsid w:val="0091346D"/>
    <w:rsid w:val="00913CB6"/>
    <w:rsid w:val="00914F4A"/>
    <w:rsid w:val="00914FFF"/>
    <w:rsid w:val="0091657C"/>
    <w:rsid w:val="00916971"/>
    <w:rsid w:val="009173E5"/>
    <w:rsid w:val="009201D1"/>
    <w:rsid w:val="00921320"/>
    <w:rsid w:val="00922554"/>
    <w:rsid w:val="00923238"/>
    <w:rsid w:val="00923952"/>
    <w:rsid w:val="00924D62"/>
    <w:rsid w:val="00925404"/>
    <w:rsid w:val="00925B1C"/>
    <w:rsid w:val="009269C8"/>
    <w:rsid w:val="00932B80"/>
    <w:rsid w:val="009348B5"/>
    <w:rsid w:val="00935461"/>
    <w:rsid w:val="00935AE9"/>
    <w:rsid w:val="00936405"/>
    <w:rsid w:val="009371E1"/>
    <w:rsid w:val="00940305"/>
    <w:rsid w:val="009405D3"/>
    <w:rsid w:val="00940B92"/>
    <w:rsid w:val="00942A22"/>
    <w:rsid w:val="009434F9"/>
    <w:rsid w:val="00946D00"/>
    <w:rsid w:val="00946EE1"/>
    <w:rsid w:val="009475F0"/>
    <w:rsid w:val="009477EA"/>
    <w:rsid w:val="009500C9"/>
    <w:rsid w:val="009504AD"/>
    <w:rsid w:val="0095084D"/>
    <w:rsid w:val="0095089E"/>
    <w:rsid w:val="0095137B"/>
    <w:rsid w:val="009515B8"/>
    <w:rsid w:val="00951657"/>
    <w:rsid w:val="00952F49"/>
    <w:rsid w:val="0095460B"/>
    <w:rsid w:val="00956177"/>
    <w:rsid w:val="00960D8D"/>
    <w:rsid w:val="009617AA"/>
    <w:rsid w:val="00961919"/>
    <w:rsid w:val="0096246A"/>
    <w:rsid w:val="00962667"/>
    <w:rsid w:val="00964BC6"/>
    <w:rsid w:val="00964CBC"/>
    <w:rsid w:val="00965D88"/>
    <w:rsid w:val="00967582"/>
    <w:rsid w:val="00970731"/>
    <w:rsid w:val="0097184F"/>
    <w:rsid w:val="00973D94"/>
    <w:rsid w:val="009766DB"/>
    <w:rsid w:val="00981307"/>
    <w:rsid w:val="00981C20"/>
    <w:rsid w:val="00983C93"/>
    <w:rsid w:val="00983D5E"/>
    <w:rsid w:val="009858AF"/>
    <w:rsid w:val="009863D2"/>
    <w:rsid w:val="00986A4D"/>
    <w:rsid w:val="00987F28"/>
    <w:rsid w:val="00991D9E"/>
    <w:rsid w:val="00992C49"/>
    <w:rsid w:val="00992F32"/>
    <w:rsid w:val="009940F0"/>
    <w:rsid w:val="00995199"/>
    <w:rsid w:val="00995DDC"/>
    <w:rsid w:val="00996709"/>
    <w:rsid w:val="00996865"/>
    <w:rsid w:val="0099693A"/>
    <w:rsid w:val="00996A46"/>
    <w:rsid w:val="00997C02"/>
    <w:rsid w:val="009A4A6E"/>
    <w:rsid w:val="009A506F"/>
    <w:rsid w:val="009A6B1B"/>
    <w:rsid w:val="009A73DC"/>
    <w:rsid w:val="009A745E"/>
    <w:rsid w:val="009B2D88"/>
    <w:rsid w:val="009B2E81"/>
    <w:rsid w:val="009B3353"/>
    <w:rsid w:val="009B3EBB"/>
    <w:rsid w:val="009B3FFD"/>
    <w:rsid w:val="009B5A85"/>
    <w:rsid w:val="009C0222"/>
    <w:rsid w:val="009C0E85"/>
    <w:rsid w:val="009C1114"/>
    <w:rsid w:val="009C1D0C"/>
    <w:rsid w:val="009C1EFA"/>
    <w:rsid w:val="009C1F59"/>
    <w:rsid w:val="009C224A"/>
    <w:rsid w:val="009C4FBF"/>
    <w:rsid w:val="009C52F1"/>
    <w:rsid w:val="009C5340"/>
    <w:rsid w:val="009C574E"/>
    <w:rsid w:val="009C6B73"/>
    <w:rsid w:val="009C771F"/>
    <w:rsid w:val="009D0329"/>
    <w:rsid w:val="009D0554"/>
    <w:rsid w:val="009D1593"/>
    <w:rsid w:val="009D2B6D"/>
    <w:rsid w:val="009D4287"/>
    <w:rsid w:val="009D6407"/>
    <w:rsid w:val="009D715D"/>
    <w:rsid w:val="009D7597"/>
    <w:rsid w:val="009E0252"/>
    <w:rsid w:val="009E1D8E"/>
    <w:rsid w:val="009E2BF2"/>
    <w:rsid w:val="009E3565"/>
    <w:rsid w:val="009E3A5D"/>
    <w:rsid w:val="009E4A99"/>
    <w:rsid w:val="009E4CB9"/>
    <w:rsid w:val="009E581E"/>
    <w:rsid w:val="009E649F"/>
    <w:rsid w:val="009E77C6"/>
    <w:rsid w:val="009E7EFF"/>
    <w:rsid w:val="009F01D6"/>
    <w:rsid w:val="009F08DB"/>
    <w:rsid w:val="009F141B"/>
    <w:rsid w:val="009F2C9B"/>
    <w:rsid w:val="009F34FA"/>
    <w:rsid w:val="009F6EB3"/>
    <w:rsid w:val="00A00EFF"/>
    <w:rsid w:val="00A01B5E"/>
    <w:rsid w:val="00A026BF"/>
    <w:rsid w:val="00A030B1"/>
    <w:rsid w:val="00A05E10"/>
    <w:rsid w:val="00A05F16"/>
    <w:rsid w:val="00A067CA"/>
    <w:rsid w:val="00A06BE5"/>
    <w:rsid w:val="00A07D19"/>
    <w:rsid w:val="00A10099"/>
    <w:rsid w:val="00A10913"/>
    <w:rsid w:val="00A109DC"/>
    <w:rsid w:val="00A117FA"/>
    <w:rsid w:val="00A11955"/>
    <w:rsid w:val="00A1781B"/>
    <w:rsid w:val="00A2228F"/>
    <w:rsid w:val="00A24D38"/>
    <w:rsid w:val="00A26550"/>
    <w:rsid w:val="00A279DB"/>
    <w:rsid w:val="00A31847"/>
    <w:rsid w:val="00A31864"/>
    <w:rsid w:val="00A33570"/>
    <w:rsid w:val="00A33BB0"/>
    <w:rsid w:val="00A34516"/>
    <w:rsid w:val="00A35248"/>
    <w:rsid w:val="00A358D2"/>
    <w:rsid w:val="00A36493"/>
    <w:rsid w:val="00A36DEC"/>
    <w:rsid w:val="00A37228"/>
    <w:rsid w:val="00A4059E"/>
    <w:rsid w:val="00A408C9"/>
    <w:rsid w:val="00A422A1"/>
    <w:rsid w:val="00A424C2"/>
    <w:rsid w:val="00A4393B"/>
    <w:rsid w:val="00A43FEA"/>
    <w:rsid w:val="00A4589F"/>
    <w:rsid w:val="00A46726"/>
    <w:rsid w:val="00A5239D"/>
    <w:rsid w:val="00A528C1"/>
    <w:rsid w:val="00A52BDD"/>
    <w:rsid w:val="00A53739"/>
    <w:rsid w:val="00A54FA0"/>
    <w:rsid w:val="00A557F8"/>
    <w:rsid w:val="00A568B6"/>
    <w:rsid w:val="00A57087"/>
    <w:rsid w:val="00A6022D"/>
    <w:rsid w:val="00A60D74"/>
    <w:rsid w:val="00A625AC"/>
    <w:rsid w:val="00A629DB"/>
    <w:rsid w:val="00A6599C"/>
    <w:rsid w:val="00A66C9D"/>
    <w:rsid w:val="00A71471"/>
    <w:rsid w:val="00A7162F"/>
    <w:rsid w:val="00A72A3E"/>
    <w:rsid w:val="00A73860"/>
    <w:rsid w:val="00A7396F"/>
    <w:rsid w:val="00A73EAA"/>
    <w:rsid w:val="00A743A9"/>
    <w:rsid w:val="00A74CD7"/>
    <w:rsid w:val="00A764BB"/>
    <w:rsid w:val="00A80623"/>
    <w:rsid w:val="00A81004"/>
    <w:rsid w:val="00A81DAF"/>
    <w:rsid w:val="00A8203F"/>
    <w:rsid w:val="00A83C37"/>
    <w:rsid w:val="00A84B44"/>
    <w:rsid w:val="00A86B60"/>
    <w:rsid w:val="00A86F28"/>
    <w:rsid w:val="00A873DE"/>
    <w:rsid w:val="00A91499"/>
    <w:rsid w:val="00A91C32"/>
    <w:rsid w:val="00A950C5"/>
    <w:rsid w:val="00A95DE9"/>
    <w:rsid w:val="00A96B21"/>
    <w:rsid w:val="00AA0815"/>
    <w:rsid w:val="00AA1D92"/>
    <w:rsid w:val="00AA21BB"/>
    <w:rsid w:val="00AA2951"/>
    <w:rsid w:val="00AA2C2A"/>
    <w:rsid w:val="00AA2CD5"/>
    <w:rsid w:val="00AA3525"/>
    <w:rsid w:val="00AA4288"/>
    <w:rsid w:val="00AA4B6E"/>
    <w:rsid w:val="00AA5F2B"/>
    <w:rsid w:val="00AA6C1F"/>
    <w:rsid w:val="00AB01AD"/>
    <w:rsid w:val="00AB0490"/>
    <w:rsid w:val="00AB1332"/>
    <w:rsid w:val="00AB24E2"/>
    <w:rsid w:val="00AB3898"/>
    <w:rsid w:val="00AB3D6C"/>
    <w:rsid w:val="00AB5602"/>
    <w:rsid w:val="00AB5B5E"/>
    <w:rsid w:val="00AB7967"/>
    <w:rsid w:val="00AB7AE4"/>
    <w:rsid w:val="00AC03CF"/>
    <w:rsid w:val="00AC1C85"/>
    <w:rsid w:val="00AC3431"/>
    <w:rsid w:val="00AC3651"/>
    <w:rsid w:val="00AC43EA"/>
    <w:rsid w:val="00AC5E79"/>
    <w:rsid w:val="00AC6E09"/>
    <w:rsid w:val="00AC777C"/>
    <w:rsid w:val="00AD0DAE"/>
    <w:rsid w:val="00AD0E07"/>
    <w:rsid w:val="00AD3077"/>
    <w:rsid w:val="00AD4023"/>
    <w:rsid w:val="00AD4C0F"/>
    <w:rsid w:val="00AD4CCF"/>
    <w:rsid w:val="00AD529B"/>
    <w:rsid w:val="00AD5455"/>
    <w:rsid w:val="00AD598F"/>
    <w:rsid w:val="00AD78B4"/>
    <w:rsid w:val="00AE196C"/>
    <w:rsid w:val="00AE1A95"/>
    <w:rsid w:val="00AE2E80"/>
    <w:rsid w:val="00AE380A"/>
    <w:rsid w:val="00AE3870"/>
    <w:rsid w:val="00AE4045"/>
    <w:rsid w:val="00AE5682"/>
    <w:rsid w:val="00AE6ED5"/>
    <w:rsid w:val="00AE6FAD"/>
    <w:rsid w:val="00AE76B5"/>
    <w:rsid w:val="00AF00DE"/>
    <w:rsid w:val="00AF049B"/>
    <w:rsid w:val="00AF0EB1"/>
    <w:rsid w:val="00AF1638"/>
    <w:rsid w:val="00AF1C96"/>
    <w:rsid w:val="00AF28AC"/>
    <w:rsid w:val="00AF3456"/>
    <w:rsid w:val="00AF3643"/>
    <w:rsid w:val="00AF3B7A"/>
    <w:rsid w:val="00AF4108"/>
    <w:rsid w:val="00B01052"/>
    <w:rsid w:val="00B01AA0"/>
    <w:rsid w:val="00B0220B"/>
    <w:rsid w:val="00B026B0"/>
    <w:rsid w:val="00B04350"/>
    <w:rsid w:val="00B0473B"/>
    <w:rsid w:val="00B04D2A"/>
    <w:rsid w:val="00B05C3C"/>
    <w:rsid w:val="00B071BD"/>
    <w:rsid w:val="00B105E8"/>
    <w:rsid w:val="00B10F5E"/>
    <w:rsid w:val="00B10FEE"/>
    <w:rsid w:val="00B116AF"/>
    <w:rsid w:val="00B11CFD"/>
    <w:rsid w:val="00B12B28"/>
    <w:rsid w:val="00B130B5"/>
    <w:rsid w:val="00B14B10"/>
    <w:rsid w:val="00B15572"/>
    <w:rsid w:val="00B15983"/>
    <w:rsid w:val="00B177EE"/>
    <w:rsid w:val="00B20A9F"/>
    <w:rsid w:val="00B216BA"/>
    <w:rsid w:val="00B22258"/>
    <w:rsid w:val="00B23DBC"/>
    <w:rsid w:val="00B23F86"/>
    <w:rsid w:val="00B23F97"/>
    <w:rsid w:val="00B25654"/>
    <w:rsid w:val="00B262E3"/>
    <w:rsid w:val="00B27E1C"/>
    <w:rsid w:val="00B303FD"/>
    <w:rsid w:val="00B31F68"/>
    <w:rsid w:val="00B33C17"/>
    <w:rsid w:val="00B34A00"/>
    <w:rsid w:val="00B351B1"/>
    <w:rsid w:val="00B353AF"/>
    <w:rsid w:val="00B3566E"/>
    <w:rsid w:val="00B36214"/>
    <w:rsid w:val="00B36EA9"/>
    <w:rsid w:val="00B37EBF"/>
    <w:rsid w:val="00B412F4"/>
    <w:rsid w:val="00B46256"/>
    <w:rsid w:val="00B46B3B"/>
    <w:rsid w:val="00B47289"/>
    <w:rsid w:val="00B47698"/>
    <w:rsid w:val="00B47A84"/>
    <w:rsid w:val="00B47AAD"/>
    <w:rsid w:val="00B511B7"/>
    <w:rsid w:val="00B52935"/>
    <w:rsid w:val="00B54656"/>
    <w:rsid w:val="00B57BFB"/>
    <w:rsid w:val="00B60676"/>
    <w:rsid w:val="00B60858"/>
    <w:rsid w:val="00B60F60"/>
    <w:rsid w:val="00B6140C"/>
    <w:rsid w:val="00B63670"/>
    <w:rsid w:val="00B63953"/>
    <w:rsid w:val="00B63BDB"/>
    <w:rsid w:val="00B63E6B"/>
    <w:rsid w:val="00B64513"/>
    <w:rsid w:val="00B6555D"/>
    <w:rsid w:val="00B66E91"/>
    <w:rsid w:val="00B67AF0"/>
    <w:rsid w:val="00B67FBE"/>
    <w:rsid w:val="00B67FE3"/>
    <w:rsid w:val="00B7061B"/>
    <w:rsid w:val="00B70B11"/>
    <w:rsid w:val="00B71215"/>
    <w:rsid w:val="00B72817"/>
    <w:rsid w:val="00B728A8"/>
    <w:rsid w:val="00B7298E"/>
    <w:rsid w:val="00B72DAE"/>
    <w:rsid w:val="00B775E9"/>
    <w:rsid w:val="00B8190D"/>
    <w:rsid w:val="00B81A38"/>
    <w:rsid w:val="00B83BF0"/>
    <w:rsid w:val="00B871CB"/>
    <w:rsid w:val="00B9270D"/>
    <w:rsid w:val="00B93350"/>
    <w:rsid w:val="00B95A7F"/>
    <w:rsid w:val="00B95BB3"/>
    <w:rsid w:val="00BA00B4"/>
    <w:rsid w:val="00BA18CA"/>
    <w:rsid w:val="00BA3B9C"/>
    <w:rsid w:val="00BA4BF5"/>
    <w:rsid w:val="00BA5CBA"/>
    <w:rsid w:val="00BA70EB"/>
    <w:rsid w:val="00BB01DC"/>
    <w:rsid w:val="00BB0AFD"/>
    <w:rsid w:val="00BB105A"/>
    <w:rsid w:val="00BB2491"/>
    <w:rsid w:val="00BB262E"/>
    <w:rsid w:val="00BB2B25"/>
    <w:rsid w:val="00BB5530"/>
    <w:rsid w:val="00BB5674"/>
    <w:rsid w:val="00BB6202"/>
    <w:rsid w:val="00BC0643"/>
    <w:rsid w:val="00BC264E"/>
    <w:rsid w:val="00BC533D"/>
    <w:rsid w:val="00BC5AD7"/>
    <w:rsid w:val="00BD054E"/>
    <w:rsid w:val="00BD0684"/>
    <w:rsid w:val="00BD26BF"/>
    <w:rsid w:val="00BD40BA"/>
    <w:rsid w:val="00BD4199"/>
    <w:rsid w:val="00BD486B"/>
    <w:rsid w:val="00BD59C7"/>
    <w:rsid w:val="00BD696A"/>
    <w:rsid w:val="00BD6AF0"/>
    <w:rsid w:val="00BE0773"/>
    <w:rsid w:val="00BE1EB9"/>
    <w:rsid w:val="00BE3ACE"/>
    <w:rsid w:val="00BE3E9D"/>
    <w:rsid w:val="00BE4891"/>
    <w:rsid w:val="00BE5195"/>
    <w:rsid w:val="00BE7663"/>
    <w:rsid w:val="00BF0094"/>
    <w:rsid w:val="00BF1364"/>
    <w:rsid w:val="00BF1684"/>
    <w:rsid w:val="00BF172F"/>
    <w:rsid w:val="00BF19E6"/>
    <w:rsid w:val="00BF1E0E"/>
    <w:rsid w:val="00BF4440"/>
    <w:rsid w:val="00BF5251"/>
    <w:rsid w:val="00BF5FEC"/>
    <w:rsid w:val="00BF60B0"/>
    <w:rsid w:val="00BF6C5C"/>
    <w:rsid w:val="00BF6D4C"/>
    <w:rsid w:val="00BF6F3C"/>
    <w:rsid w:val="00C000B7"/>
    <w:rsid w:val="00C0180E"/>
    <w:rsid w:val="00C02301"/>
    <w:rsid w:val="00C0257E"/>
    <w:rsid w:val="00C02712"/>
    <w:rsid w:val="00C034DC"/>
    <w:rsid w:val="00C03AAA"/>
    <w:rsid w:val="00C05B19"/>
    <w:rsid w:val="00C063B4"/>
    <w:rsid w:val="00C06F7F"/>
    <w:rsid w:val="00C104BD"/>
    <w:rsid w:val="00C105B0"/>
    <w:rsid w:val="00C10797"/>
    <w:rsid w:val="00C10904"/>
    <w:rsid w:val="00C10B40"/>
    <w:rsid w:val="00C112DF"/>
    <w:rsid w:val="00C11A68"/>
    <w:rsid w:val="00C1297F"/>
    <w:rsid w:val="00C12BAE"/>
    <w:rsid w:val="00C14EAD"/>
    <w:rsid w:val="00C1788F"/>
    <w:rsid w:val="00C1796D"/>
    <w:rsid w:val="00C20855"/>
    <w:rsid w:val="00C21169"/>
    <w:rsid w:val="00C2354A"/>
    <w:rsid w:val="00C239DB"/>
    <w:rsid w:val="00C23B05"/>
    <w:rsid w:val="00C23D7E"/>
    <w:rsid w:val="00C25CD5"/>
    <w:rsid w:val="00C26D38"/>
    <w:rsid w:val="00C31063"/>
    <w:rsid w:val="00C329BF"/>
    <w:rsid w:val="00C331A0"/>
    <w:rsid w:val="00C33471"/>
    <w:rsid w:val="00C3348B"/>
    <w:rsid w:val="00C338C3"/>
    <w:rsid w:val="00C34548"/>
    <w:rsid w:val="00C379EE"/>
    <w:rsid w:val="00C37C95"/>
    <w:rsid w:val="00C40B76"/>
    <w:rsid w:val="00C40B94"/>
    <w:rsid w:val="00C415E6"/>
    <w:rsid w:val="00C4242C"/>
    <w:rsid w:val="00C4289A"/>
    <w:rsid w:val="00C42CC8"/>
    <w:rsid w:val="00C4310C"/>
    <w:rsid w:val="00C43204"/>
    <w:rsid w:val="00C44DC8"/>
    <w:rsid w:val="00C450E7"/>
    <w:rsid w:val="00C45D2D"/>
    <w:rsid w:val="00C4707A"/>
    <w:rsid w:val="00C4765C"/>
    <w:rsid w:val="00C47791"/>
    <w:rsid w:val="00C50A0A"/>
    <w:rsid w:val="00C517B1"/>
    <w:rsid w:val="00C519DC"/>
    <w:rsid w:val="00C51BE6"/>
    <w:rsid w:val="00C51DAC"/>
    <w:rsid w:val="00C524D6"/>
    <w:rsid w:val="00C528EE"/>
    <w:rsid w:val="00C52C0C"/>
    <w:rsid w:val="00C53F3F"/>
    <w:rsid w:val="00C54134"/>
    <w:rsid w:val="00C547DE"/>
    <w:rsid w:val="00C5491B"/>
    <w:rsid w:val="00C54D52"/>
    <w:rsid w:val="00C55C4A"/>
    <w:rsid w:val="00C56A8D"/>
    <w:rsid w:val="00C5753F"/>
    <w:rsid w:val="00C57A4C"/>
    <w:rsid w:val="00C605D9"/>
    <w:rsid w:val="00C60F54"/>
    <w:rsid w:val="00C640E6"/>
    <w:rsid w:val="00C64141"/>
    <w:rsid w:val="00C64A38"/>
    <w:rsid w:val="00C65944"/>
    <w:rsid w:val="00C65D10"/>
    <w:rsid w:val="00C664D3"/>
    <w:rsid w:val="00C66ACF"/>
    <w:rsid w:val="00C66FDF"/>
    <w:rsid w:val="00C70DA3"/>
    <w:rsid w:val="00C710BC"/>
    <w:rsid w:val="00C726D4"/>
    <w:rsid w:val="00C72E07"/>
    <w:rsid w:val="00C747A5"/>
    <w:rsid w:val="00C80D80"/>
    <w:rsid w:val="00C8255F"/>
    <w:rsid w:val="00C842AE"/>
    <w:rsid w:val="00C84634"/>
    <w:rsid w:val="00C85845"/>
    <w:rsid w:val="00C859D1"/>
    <w:rsid w:val="00C85ABF"/>
    <w:rsid w:val="00C87308"/>
    <w:rsid w:val="00C9056C"/>
    <w:rsid w:val="00C90669"/>
    <w:rsid w:val="00C93828"/>
    <w:rsid w:val="00C955A1"/>
    <w:rsid w:val="00C97B30"/>
    <w:rsid w:val="00CA1483"/>
    <w:rsid w:val="00CA1A6E"/>
    <w:rsid w:val="00CA2DED"/>
    <w:rsid w:val="00CB034F"/>
    <w:rsid w:val="00CB0AD8"/>
    <w:rsid w:val="00CB1C46"/>
    <w:rsid w:val="00CB33BC"/>
    <w:rsid w:val="00CB446F"/>
    <w:rsid w:val="00CB4FEB"/>
    <w:rsid w:val="00CB51FD"/>
    <w:rsid w:val="00CB66C2"/>
    <w:rsid w:val="00CB7717"/>
    <w:rsid w:val="00CB7CBF"/>
    <w:rsid w:val="00CC0BB1"/>
    <w:rsid w:val="00CC0D6D"/>
    <w:rsid w:val="00CC0E72"/>
    <w:rsid w:val="00CC275A"/>
    <w:rsid w:val="00CC4CB5"/>
    <w:rsid w:val="00CC5C11"/>
    <w:rsid w:val="00CC7B72"/>
    <w:rsid w:val="00CD3E49"/>
    <w:rsid w:val="00CD4BD5"/>
    <w:rsid w:val="00CD4F64"/>
    <w:rsid w:val="00CD5806"/>
    <w:rsid w:val="00CD68C7"/>
    <w:rsid w:val="00CD7FA3"/>
    <w:rsid w:val="00CE00A4"/>
    <w:rsid w:val="00CE041A"/>
    <w:rsid w:val="00CE0560"/>
    <w:rsid w:val="00CE13D9"/>
    <w:rsid w:val="00CE1E90"/>
    <w:rsid w:val="00CE2504"/>
    <w:rsid w:val="00CE266A"/>
    <w:rsid w:val="00CE4E30"/>
    <w:rsid w:val="00CE588F"/>
    <w:rsid w:val="00CE5FFE"/>
    <w:rsid w:val="00CE6A38"/>
    <w:rsid w:val="00CE7460"/>
    <w:rsid w:val="00CF09CA"/>
    <w:rsid w:val="00CF1AD7"/>
    <w:rsid w:val="00CF2416"/>
    <w:rsid w:val="00CF3FA3"/>
    <w:rsid w:val="00CF55E9"/>
    <w:rsid w:val="00CF5EE7"/>
    <w:rsid w:val="00CF6A56"/>
    <w:rsid w:val="00CF70AB"/>
    <w:rsid w:val="00CF74E8"/>
    <w:rsid w:val="00D0022B"/>
    <w:rsid w:val="00D03E7D"/>
    <w:rsid w:val="00D0520A"/>
    <w:rsid w:val="00D061A0"/>
    <w:rsid w:val="00D0713A"/>
    <w:rsid w:val="00D077CD"/>
    <w:rsid w:val="00D10B51"/>
    <w:rsid w:val="00D10B5D"/>
    <w:rsid w:val="00D134DF"/>
    <w:rsid w:val="00D1375B"/>
    <w:rsid w:val="00D1541D"/>
    <w:rsid w:val="00D154E8"/>
    <w:rsid w:val="00D15693"/>
    <w:rsid w:val="00D15E5C"/>
    <w:rsid w:val="00D15F88"/>
    <w:rsid w:val="00D163F5"/>
    <w:rsid w:val="00D168C4"/>
    <w:rsid w:val="00D16B95"/>
    <w:rsid w:val="00D17ABE"/>
    <w:rsid w:val="00D2001F"/>
    <w:rsid w:val="00D2010E"/>
    <w:rsid w:val="00D21F5C"/>
    <w:rsid w:val="00D2237E"/>
    <w:rsid w:val="00D2253D"/>
    <w:rsid w:val="00D22CA1"/>
    <w:rsid w:val="00D22CE8"/>
    <w:rsid w:val="00D245F9"/>
    <w:rsid w:val="00D27D29"/>
    <w:rsid w:val="00D27EFB"/>
    <w:rsid w:val="00D3059B"/>
    <w:rsid w:val="00D31087"/>
    <w:rsid w:val="00D31A20"/>
    <w:rsid w:val="00D3276B"/>
    <w:rsid w:val="00D328D3"/>
    <w:rsid w:val="00D32C81"/>
    <w:rsid w:val="00D32FA2"/>
    <w:rsid w:val="00D33230"/>
    <w:rsid w:val="00D332D5"/>
    <w:rsid w:val="00D3405F"/>
    <w:rsid w:val="00D35F14"/>
    <w:rsid w:val="00D36B12"/>
    <w:rsid w:val="00D37EAA"/>
    <w:rsid w:val="00D41440"/>
    <w:rsid w:val="00D41746"/>
    <w:rsid w:val="00D42311"/>
    <w:rsid w:val="00D442BA"/>
    <w:rsid w:val="00D445D7"/>
    <w:rsid w:val="00D448D7"/>
    <w:rsid w:val="00D467F1"/>
    <w:rsid w:val="00D47013"/>
    <w:rsid w:val="00D509EC"/>
    <w:rsid w:val="00D5120D"/>
    <w:rsid w:val="00D53403"/>
    <w:rsid w:val="00D53AD6"/>
    <w:rsid w:val="00D53C08"/>
    <w:rsid w:val="00D540A8"/>
    <w:rsid w:val="00D5530E"/>
    <w:rsid w:val="00D60046"/>
    <w:rsid w:val="00D60D4C"/>
    <w:rsid w:val="00D60D82"/>
    <w:rsid w:val="00D60E14"/>
    <w:rsid w:val="00D62767"/>
    <w:rsid w:val="00D6276C"/>
    <w:rsid w:val="00D6374C"/>
    <w:rsid w:val="00D63B42"/>
    <w:rsid w:val="00D64106"/>
    <w:rsid w:val="00D64F35"/>
    <w:rsid w:val="00D65551"/>
    <w:rsid w:val="00D66CA9"/>
    <w:rsid w:val="00D676B4"/>
    <w:rsid w:val="00D70C66"/>
    <w:rsid w:val="00D71FD3"/>
    <w:rsid w:val="00D71FFB"/>
    <w:rsid w:val="00D7350A"/>
    <w:rsid w:val="00D7633E"/>
    <w:rsid w:val="00D7694D"/>
    <w:rsid w:val="00D76E3E"/>
    <w:rsid w:val="00D773A9"/>
    <w:rsid w:val="00D806E8"/>
    <w:rsid w:val="00D80A5C"/>
    <w:rsid w:val="00D81167"/>
    <w:rsid w:val="00D8327C"/>
    <w:rsid w:val="00D83DBD"/>
    <w:rsid w:val="00D8502C"/>
    <w:rsid w:val="00D85B24"/>
    <w:rsid w:val="00D86B08"/>
    <w:rsid w:val="00D8781B"/>
    <w:rsid w:val="00D9044B"/>
    <w:rsid w:val="00D9053B"/>
    <w:rsid w:val="00D905EC"/>
    <w:rsid w:val="00D91CF8"/>
    <w:rsid w:val="00D9202B"/>
    <w:rsid w:val="00D92206"/>
    <w:rsid w:val="00D92F22"/>
    <w:rsid w:val="00D938BB"/>
    <w:rsid w:val="00D95C84"/>
    <w:rsid w:val="00D97F39"/>
    <w:rsid w:val="00DA02F3"/>
    <w:rsid w:val="00DA0487"/>
    <w:rsid w:val="00DA077E"/>
    <w:rsid w:val="00DA11FE"/>
    <w:rsid w:val="00DA1CB7"/>
    <w:rsid w:val="00DA2858"/>
    <w:rsid w:val="00DA5AE8"/>
    <w:rsid w:val="00DA6BA9"/>
    <w:rsid w:val="00DA7E7E"/>
    <w:rsid w:val="00DB1075"/>
    <w:rsid w:val="00DB38BF"/>
    <w:rsid w:val="00DB5463"/>
    <w:rsid w:val="00DB7B93"/>
    <w:rsid w:val="00DC1A17"/>
    <w:rsid w:val="00DC3914"/>
    <w:rsid w:val="00DC42F3"/>
    <w:rsid w:val="00DC7153"/>
    <w:rsid w:val="00DC7561"/>
    <w:rsid w:val="00DD2333"/>
    <w:rsid w:val="00DD3751"/>
    <w:rsid w:val="00DD415F"/>
    <w:rsid w:val="00DD4B67"/>
    <w:rsid w:val="00DD6C07"/>
    <w:rsid w:val="00DE072B"/>
    <w:rsid w:val="00DE0EBA"/>
    <w:rsid w:val="00DE1558"/>
    <w:rsid w:val="00DE161B"/>
    <w:rsid w:val="00DE2071"/>
    <w:rsid w:val="00DE22C9"/>
    <w:rsid w:val="00DE2DA6"/>
    <w:rsid w:val="00DE4EB7"/>
    <w:rsid w:val="00DE57F0"/>
    <w:rsid w:val="00DE5B44"/>
    <w:rsid w:val="00DE62F6"/>
    <w:rsid w:val="00DE6D35"/>
    <w:rsid w:val="00DE73B6"/>
    <w:rsid w:val="00DE76A8"/>
    <w:rsid w:val="00DF21EE"/>
    <w:rsid w:val="00DF3BD1"/>
    <w:rsid w:val="00DF56F0"/>
    <w:rsid w:val="00DF5D07"/>
    <w:rsid w:val="00DF65CC"/>
    <w:rsid w:val="00DF6EFB"/>
    <w:rsid w:val="00DF7AA4"/>
    <w:rsid w:val="00E001A7"/>
    <w:rsid w:val="00E00C52"/>
    <w:rsid w:val="00E018F6"/>
    <w:rsid w:val="00E0330E"/>
    <w:rsid w:val="00E03400"/>
    <w:rsid w:val="00E050CC"/>
    <w:rsid w:val="00E060BD"/>
    <w:rsid w:val="00E100A2"/>
    <w:rsid w:val="00E114C9"/>
    <w:rsid w:val="00E12AFF"/>
    <w:rsid w:val="00E13F00"/>
    <w:rsid w:val="00E1597C"/>
    <w:rsid w:val="00E1724A"/>
    <w:rsid w:val="00E17959"/>
    <w:rsid w:val="00E17F11"/>
    <w:rsid w:val="00E20922"/>
    <w:rsid w:val="00E20CD2"/>
    <w:rsid w:val="00E220A8"/>
    <w:rsid w:val="00E22F2B"/>
    <w:rsid w:val="00E23F1C"/>
    <w:rsid w:val="00E24241"/>
    <w:rsid w:val="00E242F3"/>
    <w:rsid w:val="00E248CE"/>
    <w:rsid w:val="00E26CB9"/>
    <w:rsid w:val="00E3050A"/>
    <w:rsid w:val="00E316B6"/>
    <w:rsid w:val="00E33673"/>
    <w:rsid w:val="00E34CD6"/>
    <w:rsid w:val="00E357CE"/>
    <w:rsid w:val="00E35D52"/>
    <w:rsid w:val="00E40694"/>
    <w:rsid w:val="00E409B1"/>
    <w:rsid w:val="00E42465"/>
    <w:rsid w:val="00E42A8B"/>
    <w:rsid w:val="00E445D6"/>
    <w:rsid w:val="00E45FC1"/>
    <w:rsid w:val="00E50A27"/>
    <w:rsid w:val="00E5588A"/>
    <w:rsid w:val="00E55D8F"/>
    <w:rsid w:val="00E5645C"/>
    <w:rsid w:val="00E564C2"/>
    <w:rsid w:val="00E56E69"/>
    <w:rsid w:val="00E60339"/>
    <w:rsid w:val="00E6036F"/>
    <w:rsid w:val="00E60B1D"/>
    <w:rsid w:val="00E61C34"/>
    <w:rsid w:val="00E62708"/>
    <w:rsid w:val="00E62DA0"/>
    <w:rsid w:val="00E63385"/>
    <w:rsid w:val="00E634A5"/>
    <w:rsid w:val="00E6453B"/>
    <w:rsid w:val="00E66D46"/>
    <w:rsid w:val="00E67C05"/>
    <w:rsid w:val="00E67E90"/>
    <w:rsid w:val="00E7090B"/>
    <w:rsid w:val="00E72690"/>
    <w:rsid w:val="00E75752"/>
    <w:rsid w:val="00E765A9"/>
    <w:rsid w:val="00E800EA"/>
    <w:rsid w:val="00E815FC"/>
    <w:rsid w:val="00E84592"/>
    <w:rsid w:val="00E84BAD"/>
    <w:rsid w:val="00E856DE"/>
    <w:rsid w:val="00E9089D"/>
    <w:rsid w:val="00E90C7C"/>
    <w:rsid w:val="00E92A58"/>
    <w:rsid w:val="00E9372B"/>
    <w:rsid w:val="00E93960"/>
    <w:rsid w:val="00E94119"/>
    <w:rsid w:val="00E94A15"/>
    <w:rsid w:val="00E9667E"/>
    <w:rsid w:val="00E96826"/>
    <w:rsid w:val="00E97E7A"/>
    <w:rsid w:val="00EA0327"/>
    <w:rsid w:val="00EA0E91"/>
    <w:rsid w:val="00EA261D"/>
    <w:rsid w:val="00EA2A0A"/>
    <w:rsid w:val="00EA3DE8"/>
    <w:rsid w:val="00EA5CCD"/>
    <w:rsid w:val="00EA5DEC"/>
    <w:rsid w:val="00EA60FE"/>
    <w:rsid w:val="00EA7642"/>
    <w:rsid w:val="00EB04C1"/>
    <w:rsid w:val="00EB1EB2"/>
    <w:rsid w:val="00EB2C52"/>
    <w:rsid w:val="00EB3E6F"/>
    <w:rsid w:val="00EB4343"/>
    <w:rsid w:val="00EB4AC8"/>
    <w:rsid w:val="00EC012C"/>
    <w:rsid w:val="00EC05CA"/>
    <w:rsid w:val="00EC1085"/>
    <w:rsid w:val="00EC11C3"/>
    <w:rsid w:val="00EC2124"/>
    <w:rsid w:val="00EC2603"/>
    <w:rsid w:val="00EC27CD"/>
    <w:rsid w:val="00EC2DEF"/>
    <w:rsid w:val="00EC3289"/>
    <w:rsid w:val="00EC6FDB"/>
    <w:rsid w:val="00EC7D89"/>
    <w:rsid w:val="00ED09DF"/>
    <w:rsid w:val="00ED1A19"/>
    <w:rsid w:val="00ED337B"/>
    <w:rsid w:val="00ED3849"/>
    <w:rsid w:val="00ED3E72"/>
    <w:rsid w:val="00ED4A0D"/>
    <w:rsid w:val="00ED564A"/>
    <w:rsid w:val="00ED58C8"/>
    <w:rsid w:val="00EE14A8"/>
    <w:rsid w:val="00EE1BD0"/>
    <w:rsid w:val="00EE2D71"/>
    <w:rsid w:val="00EE53C2"/>
    <w:rsid w:val="00EE6354"/>
    <w:rsid w:val="00EE6BAD"/>
    <w:rsid w:val="00EE7338"/>
    <w:rsid w:val="00EF0848"/>
    <w:rsid w:val="00EF090C"/>
    <w:rsid w:val="00EF0CF3"/>
    <w:rsid w:val="00EF1B08"/>
    <w:rsid w:val="00EF499A"/>
    <w:rsid w:val="00EF5B19"/>
    <w:rsid w:val="00EF6ABD"/>
    <w:rsid w:val="00F00D80"/>
    <w:rsid w:val="00F01071"/>
    <w:rsid w:val="00F01432"/>
    <w:rsid w:val="00F01E24"/>
    <w:rsid w:val="00F0280F"/>
    <w:rsid w:val="00F03C79"/>
    <w:rsid w:val="00F07E9E"/>
    <w:rsid w:val="00F108E7"/>
    <w:rsid w:val="00F10CBD"/>
    <w:rsid w:val="00F12115"/>
    <w:rsid w:val="00F13DE2"/>
    <w:rsid w:val="00F17D17"/>
    <w:rsid w:val="00F2052B"/>
    <w:rsid w:val="00F2112A"/>
    <w:rsid w:val="00F22823"/>
    <w:rsid w:val="00F23253"/>
    <w:rsid w:val="00F2406B"/>
    <w:rsid w:val="00F242CE"/>
    <w:rsid w:val="00F2490C"/>
    <w:rsid w:val="00F257E4"/>
    <w:rsid w:val="00F258FB"/>
    <w:rsid w:val="00F302E7"/>
    <w:rsid w:val="00F316E1"/>
    <w:rsid w:val="00F33247"/>
    <w:rsid w:val="00F33B7D"/>
    <w:rsid w:val="00F3512A"/>
    <w:rsid w:val="00F35366"/>
    <w:rsid w:val="00F35B4E"/>
    <w:rsid w:val="00F364B6"/>
    <w:rsid w:val="00F371DF"/>
    <w:rsid w:val="00F3789D"/>
    <w:rsid w:val="00F419C8"/>
    <w:rsid w:val="00F419FE"/>
    <w:rsid w:val="00F425B7"/>
    <w:rsid w:val="00F42627"/>
    <w:rsid w:val="00F442FC"/>
    <w:rsid w:val="00F44A3D"/>
    <w:rsid w:val="00F47035"/>
    <w:rsid w:val="00F4710F"/>
    <w:rsid w:val="00F5071E"/>
    <w:rsid w:val="00F511EB"/>
    <w:rsid w:val="00F53A38"/>
    <w:rsid w:val="00F5421F"/>
    <w:rsid w:val="00F546A9"/>
    <w:rsid w:val="00F55BC9"/>
    <w:rsid w:val="00F56120"/>
    <w:rsid w:val="00F56AD1"/>
    <w:rsid w:val="00F57AC7"/>
    <w:rsid w:val="00F61A2E"/>
    <w:rsid w:val="00F62CB6"/>
    <w:rsid w:val="00F63366"/>
    <w:rsid w:val="00F65CDB"/>
    <w:rsid w:val="00F67A45"/>
    <w:rsid w:val="00F67F3E"/>
    <w:rsid w:val="00F70309"/>
    <w:rsid w:val="00F7064B"/>
    <w:rsid w:val="00F70C83"/>
    <w:rsid w:val="00F722E8"/>
    <w:rsid w:val="00F7252E"/>
    <w:rsid w:val="00F726AF"/>
    <w:rsid w:val="00F72FE5"/>
    <w:rsid w:val="00F732DB"/>
    <w:rsid w:val="00F7344F"/>
    <w:rsid w:val="00F73AED"/>
    <w:rsid w:val="00F73EDE"/>
    <w:rsid w:val="00F74E1A"/>
    <w:rsid w:val="00F77028"/>
    <w:rsid w:val="00F770F3"/>
    <w:rsid w:val="00F77EBE"/>
    <w:rsid w:val="00F81ACB"/>
    <w:rsid w:val="00F82ED5"/>
    <w:rsid w:val="00F835CC"/>
    <w:rsid w:val="00F84E6F"/>
    <w:rsid w:val="00F853AF"/>
    <w:rsid w:val="00F863E3"/>
    <w:rsid w:val="00F8763E"/>
    <w:rsid w:val="00F9017B"/>
    <w:rsid w:val="00F91817"/>
    <w:rsid w:val="00F91A57"/>
    <w:rsid w:val="00F926D5"/>
    <w:rsid w:val="00F932BA"/>
    <w:rsid w:val="00F9346F"/>
    <w:rsid w:val="00F944E9"/>
    <w:rsid w:val="00F94800"/>
    <w:rsid w:val="00F94960"/>
    <w:rsid w:val="00F96ACA"/>
    <w:rsid w:val="00F9771B"/>
    <w:rsid w:val="00F97751"/>
    <w:rsid w:val="00FA062B"/>
    <w:rsid w:val="00FA069E"/>
    <w:rsid w:val="00FA18C9"/>
    <w:rsid w:val="00FA4848"/>
    <w:rsid w:val="00FA5EAF"/>
    <w:rsid w:val="00FA62B7"/>
    <w:rsid w:val="00FA7BE2"/>
    <w:rsid w:val="00FB0631"/>
    <w:rsid w:val="00FB1D45"/>
    <w:rsid w:val="00FB393D"/>
    <w:rsid w:val="00FB4C9F"/>
    <w:rsid w:val="00FB5CC9"/>
    <w:rsid w:val="00FB645E"/>
    <w:rsid w:val="00FB6575"/>
    <w:rsid w:val="00FB70C0"/>
    <w:rsid w:val="00FB7A8D"/>
    <w:rsid w:val="00FC3455"/>
    <w:rsid w:val="00FC4B64"/>
    <w:rsid w:val="00FC5741"/>
    <w:rsid w:val="00FC5812"/>
    <w:rsid w:val="00FC5F3B"/>
    <w:rsid w:val="00FC6220"/>
    <w:rsid w:val="00FC705C"/>
    <w:rsid w:val="00FC73ED"/>
    <w:rsid w:val="00FD08EB"/>
    <w:rsid w:val="00FD1320"/>
    <w:rsid w:val="00FD5073"/>
    <w:rsid w:val="00FD59CC"/>
    <w:rsid w:val="00FD61E8"/>
    <w:rsid w:val="00FD74CC"/>
    <w:rsid w:val="00FD7832"/>
    <w:rsid w:val="00FE165D"/>
    <w:rsid w:val="00FE3749"/>
    <w:rsid w:val="00FE3D99"/>
    <w:rsid w:val="00FE45D0"/>
    <w:rsid w:val="00FE4E67"/>
    <w:rsid w:val="00FE60D2"/>
    <w:rsid w:val="00FE6B1B"/>
    <w:rsid w:val="00FE7175"/>
    <w:rsid w:val="00FE7255"/>
    <w:rsid w:val="00FE75F3"/>
    <w:rsid w:val="00FF09CD"/>
    <w:rsid w:val="00FF0D76"/>
    <w:rsid w:val="00FF0E7B"/>
    <w:rsid w:val="00FF0FC7"/>
    <w:rsid w:val="00FF16A2"/>
    <w:rsid w:val="00FF217A"/>
    <w:rsid w:val="00FF2372"/>
    <w:rsid w:val="00FF28ED"/>
    <w:rsid w:val="00FF3E9D"/>
    <w:rsid w:val="00FF730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EEBB8"/>
  <w15:docId w15:val="{F934D991-6104-464B-8A9B-49FE3E97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rPr>
  </w:style>
  <w:style w:type="paragraph" w:styleId="Titre1">
    <w:name w:val="heading 1"/>
    <w:basedOn w:val="Normal"/>
    <w:next w:val="Titre2"/>
    <w:link w:val="Titre1Car"/>
    <w:uiPriority w:val="9"/>
    <w:qFormat/>
    <w:rsid w:val="004B72F0"/>
    <w:pPr>
      <w:keepNext/>
      <w:keepLines/>
      <w:numPr>
        <w:numId w:val="5"/>
      </w:numPr>
      <w:spacing w:before="240" w:after="120"/>
      <w:jc w:val="left"/>
      <w:outlineLvl w:val="0"/>
    </w:pPr>
    <w:rPr>
      <w:rFonts w:eastAsiaTheme="majorEastAsia" w:cstheme="majorBidi"/>
      <w:b/>
      <w:bCs/>
      <w:kern w:val="2"/>
      <w:sz w:val="28"/>
      <w:szCs w:val="32"/>
    </w:rPr>
  </w:style>
  <w:style w:type="paragraph" w:styleId="Titre2">
    <w:name w:val="heading 2"/>
    <w:basedOn w:val="Normal"/>
    <w:next w:val="CBDNormalNumber"/>
    <w:link w:val="Titre2Car"/>
    <w:uiPriority w:val="9"/>
    <w:qFormat/>
    <w:rsid w:val="004B72F0"/>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4B72F0"/>
    <w:pPr>
      <w:keepNext/>
      <w:keepLines/>
      <w:numPr>
        <w:ilvl w:val="2"/>
        <w:numId w:val="5"/>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4B72F0"/>
    <w:pPr>
      <w:keepNext/>
      <w:numPr>
        <w:ilvl w:val="3"/>
        <w:numId w:val="5"/>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4B72F0"/>
    <w:pPr>
      <w:keepNext/>
      <w:numPr>
        <w:ilvl w:val="4"/>
        <w:numId w:val="5"/>
      </w:numPr>
      <w:spacing w:before="120" w:after="120"/>
      <w:jc w:val="left"/>
      <w:outlineLvl w:val="4"/>
    </w:pPr>
    <w:rPr>
      <w:rFonts w:eastAsiaTheme="majorEastAsia"/>
      <w:i/>
      <w:iCs/>
    </w:rPr>
  </w:style>
  <w:style w:type="paragraph" w:styleId="Titre6">
    <w:name w:val="heading 6"/>
    <w:basedOn w:val="Normal"/>
    <w:next w:val="Normal"/>
    <w:link w:val="Titre6Car"/>
    <w:semiHidden/>
    <w:rsid w:val="004B72F0"/>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4B72F0"/>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4B72F0"/>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4B72F0"/>
    <w:pPr>
      <w:keepNext/>
      <w:widowControl w:val="0"/>
      <w:numPr>
        <w:ilvl w:val="8"/>
        <w:numId w:val="6"/>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4B72F0"/>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4B72F0"/>
    <w:pPr>
      <w:spacing w:after="120" w:line="259" w:lineRule="auto"/>
      <w:jc w:val="left"/>
    </w:pPr>
    <w:rPr>
      <w:rFonts w:asciiTheme="minorHAnsi" w:eastAsiaTheme="minorHAnsi" w:hAnsiTheme="minorHAnsi" w:cstheme="minorBidi"/>
      <w:kern w:val="2"/>
    </w:rPr>
  </w:style>
  <w:style w:type="character" w:customStyle="1" w:styleId="CorpsdetexteCar">
    <w:name w:val="Corps de texte Car"/>
    <w:basedOn w:val="Policepardfaut"/>
    <w:link w:val="Corpsdetexte"/>
    <w:uiPriority w:val="99"/>
    <w:semiHidden/>
    <w:rsid w:val="004B72F0"/>
    <w:rPr>
      <w:lang w:val="fr-CA"/>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4B72F0"/>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4B72F0"/>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4B72F0"/>
    <w:rPr>
      <w:rFonts w:ascii="Times New Roman" w:eastAsia="SimSun" w:hAnsi="Times New Roman" w:cs="Times New Roman"/>
      <w:kern w:val="0"/>
      <w:sz w:val="18"/>
      <w:szCs w:val="20"/>
      <w:lang w:val="fr-CA"/>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4B72F0"/>
    <w:rPr>
      <w:vertAlign w:val="superscript"/>
      <w:lang w:val="fr-CA"/>
    </w:rPr>
  </w:style>
  <w:style w:type="paragraph" w:customStyle="1" w:styleId="Footnote">
    <w:name w:val="Footnote"/>
    <w:basedOn w:val="Notedebasdepage"/>
    <w:qFormat/>
    <w:rsid w:val="004B72F0"/>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rPr>
  </w:style>
  <w:style w:type="paragraph" w:customStyle="1" w:styleId="Para1">
    <w:name w:val="Para 1"/>
    <w:basedOn w:val="Normal"/>
    <w:qFormat/>
    <w:rsid w:val="007A7247"/>
    <w:pPr>
      <w:spacing w:before="120" w:after="120"/>
      <w:ind w:left="567"/>
    </w:pPr>
  </w:style>
  <w:style w:type="character" w:customStyle="1" w:styleId="Titre2Car">
    <w:name w:val="Titre 2 Car"/>
    <w:basedOn w:val="Policepardfaut"/>
    <w:link w:val="Titre2"/>
    <w:uiPriority w:val="9"/>
    <w:rsid w:val="004B72F0"/>
    <w:rPr>
      <w:rFonts w:ascii="Times New Roman Bold" w:eastAsiaTheme="majorEastAsia" w:hAnsi="Times New Roman Bold" w:cstheme="majorBidi"/>
      <w:b/>
      <w:kern w:val="0"/>
      <w:sz w:val="24"/>
      <w:szCs w:val="26"/>
      <w:lang w:val="fr-CA"/>
    </w:rPr>
  </w:style>
  <w:style w:type="character" w:styleId="Textedelespacerserv">
    <w:name w:val="Placeholder Text"/>
    <w:basedOn w:val="Policepardfaut"/>
    <w:uiPriority w:val="99"/>
    <w:semiHidden/>
    <w:rsid w:val="00995DDC"/>
    <w:rPr>
      <w:color w:val="808080"/>
      <w:lang w:val="fr-CA"/>
    </w:rPr>
  </w:style>
  <w:style w:type="paragraph" w:styleId="Pieddepage">
    <w:name w:val="footer"/>
    <w:basedOn w:val="Normal"/>
    <w:link w:val="PieddepageCar"/>
    <w:uiPriority w:val="99"/>
    <w:rsid w:val="004B72F0"/>
    <w:pPr>
      <w:tabs>
        <w:tab w:val="center" w:pos="4680"/>
        <w:tab w:val="right" w:pos="9360"/>
      </w:tabs>
    </w:pPr>
    <w:rPr>
      <w:sz w:val="20"/>
    </w:rPr>
  </w:style>
  <w:style w:type="character" w:customStyle="1" w:styleId="PieddepageCar">
    <w:name w:val="Pied de page Car"/>
    <w:basedOn w:val="Policepardfaut"/>
    <w:link w:val="Pieddepage"/>
    <w:uiPriority w:val="99"/>
    <w:rsid w:val="004B72F0"/>
    <w:rPr>
      <w:rFonts w:ascii="Times New Roman" w:eastAsia="SimSun" w:hAnsi="Times New Roman" w:cs="Times New Roman"/>
      <w:kern w:val="0"/>
      <w:sz w:val="20"/>
      <w:lang w:val="fr-CA"/>
    </w:rPr>
  </w:style>
  <w:style w:type="character" w:customStyle="1" w:styleId="Titre3Car">
    <w:name w:val="Titre 3 Car"/>
    <w:basedOn w:val="Policepardfaut"/>
    <w:link w:val="Titre3"/>
    <w:uiPriority w:val="9"/>
    <w:rsid w:val="004B72F0"/>
    <w:rPr>
      <w:rFonts w:ascii="Times New Roman" w:eastAsiaTheme="majorEastAsia" w:hAnsi="Times New Roman" w:cs="Times New Roman"/>
      <w:b/>
      <w:bCs/>
      <w:kern w:val="0"/>
      <w:lang w:val="fr-CA"/>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4B72F0"/>
    <w:pPr>
      <w:spacing w:after="240"/>
    </w:pPr>
    <w:rPr>
      <w:b/>
      <w:sz w:val="28"/>
    </w:rPr>
  </w:style>
  <w:style w:type="paragraph" w:customStyle="1" w:styleId="Para30">
    <w:name w:val="Para 3"/>
    <w:basedOn w:val="Normal"/>
    <w:qFormat/>
    <w:rsid w:val="002B00CA"/>
    <w:pPr>
      <w:numPr>
        <w:numId w:val="1"/>
      </w:numPr>
      <w:spacing w:before="120" w:after="120"/>
      <w:ind w:left="1134" w:firstLine="0"/>
    </w:pPr>
  </w:style>
  <w:style w:type="character" w:customStyle="1" w:styleId="Titre4Car">
    <w:name w:val="Titre 4 Car"/>
    <w:basedOn w:val="Policepardfaut"/>
    <w:link w:val="Titre4"/>
    <w:uiPriority w:val="9"/>
    <w:rsid w:val="004B72F0"/>
    <w:rPr>
      <w:rFonts w:ascii="Times New Roman" w:eastAsiaTheme="majorEastAsia" w:hAnsi="Times New Roman" w:cs="Times New Roman"/>
      <w:b/>
      <w:bCs/>
      <w:kern w:val="0"/>
      <w:lang w:val="fr-CA"/>
    </w:rPr>
  </w:style>
  <w:style w:type="character" w:customStyle="1" w:styleId="Titre5Car">
    <w:name w:val="Titre 5 Car"/>
    <w:basedOn w:val="Policepardfaut"/>
    <w:link w:val="Titre5"/>
    <w:uiPriority w:val="9"/>
    <w:rsid w:val="004B72F0"/>
    <w:rPr>
      <w:rFonts w:ascii="Times New Roman" w:eastAsiaTheme="majorEastAsia" w:hAnsi="Times New Roman" w:cs="Times New Roman"/>
      <w:i/>
      <w:iCs/>
      <w:kern w:val="0"/>
      <w:lang w:val="fr-CA"/>
    </w:rPr>
  </w:style>
  <w:style w:type="character" w:styleId="Marquedecommentaire">
    <w:name w:val="annotation reference"/>
    <w:basedOn w:val="Policepardfaut"/>
    <w:uiPriority w:val="99"/>
    <w:semiHidden/>
    <w:unhideWhenUsed/>
    <w:rsid w:val="004B72F0"/>
    <w:rPr>
      <w:sz w:val="16"/>
      <w:szCs w:val="16"/>
      <w:lang w:val="fr-CA"/>
    </w:rPr>
  </w:style>
  <w:style w:type="paragraph" w:styleId="Commentaire">
    <w:name w:val="annotation text"/>
    <w:basedOn w:val="Normal"/>
    <w:link w:val="CommentaireCar"/>
    <w:uiPriority w:val="99"/>
    <w:rsid w:val="004B72F0"/>
    <w:rPr>
      <w:sz w:val="20"/>
      <w:szCs w:val="20"/>
    </w:rPr>
  </w:style>
  <w:style w:type="character" w:customStyle="1" w:styleId="CommentaireCar">
    <w:name w:val="Commentaire Car"/>
    <w:basedOn w:val="Policepardfaut"/>
    <w:link w:val="Commentaire"/>
    <w:uiPriority w:val="99"/>
    <w:rsid w:val="004B72F0"/>
    <w:rPr>
      <w:rFonts w:ascii="Times New Roman" w:eastAsia="SimSun" w:hAnsi="Times New Roman" w:cs="Times New Roman"/>
      <w:kern w:val="0"/>
      <w:sz w:val="20"/>
      <w:szCs w:val="20"/>
      <w:lang w:val="fr-CA"/>
    </w:rPr>
  </w:style>
  <w:style w:type="paragraph" w:styleId="Objetducommentaire">
    <w:name w:val="annotation subject"/>
    <w:basedOn w:val="Commentaire"/>
    <w:next w:val="Commentaire"/>
    <w:link w:val="ObjetducommentaireCar"/>
    <w:uiPriority w:val="99"/>
    <w:semiHidden/>
    <w:unhideWhenUsed/>
    <w:rsid w:val="004B72F0"/>
    <w:rPr>
      <w:b/>
      <w:bCs/>
    </w:rPr>
  </w:style>
  <w:style w:type="character" w:customStyle="1" w:styleId="ObjetducommentaireCar">
    <w:name w:val="Objet du commentaire Car"/>
    <w:basedOn w:val="CommentaireCar"/>
    <w:link w:val="Objetducommentaire"/>
    <w:uiPriority w:val="99"/>
    <w:semiHidden/>
    <w:rsid w:val="004B72F0"/>
    <w:rPr>
      <w:rFonts w:ascii="Times New Roman" w:eastAsia="SimSun" w:hAnsi="Times New Roman" w:cs="Times New Roman"/>
      <w:b/>
      <w:bCs/>
      <w:kern w:val="0"/>
      <w:sz w:val="20"/>
      <w:szCs w:val="20"/>
      <w:lang w:val="fr-CA"/>
    </w:rPr>
  </w:style>
  <w:style w:type="paragraph" w:styleId="Rvision">
    <w:name w:val="Revision"/>
    <w:hidden/>
    <w:uiPriority w:val="99"/>
    <w:semiHidden/>
    <w:rsid w:val="004B72F0"/>
    <w:pPr>
      <w:spacing w:after="0" w:line="240" w:lineRule="auto"/>
    </w:pPr>
    <w:rPr>
      <w:rFonts w:ascii="Simplified Arabic" w:eastAsia="Times New Roman" w:hAnsi="Simplified Arabic" w:cs="Simplified Arabic"/>
      <w:noProof/>
      <w:kern w:val="0"/>
      <w:sz w:val="24"/>
      <w:szCs w:val="24"/>
    </w:rPr>
  </w:style>
  <w:style w:type="character" w:styleId="Numrodepage">
    <w:name w:val="page number"/>
    <w:rsid w:val="00557370"/>
    <w:rPr>
      <w:rFonts w:ascii="Times New Roman" w:hAnsi="Times New Roman"/>
      <w:sz w:val="22"/>
      <w:lang w:val="fr-CA"/>
    </w:rPr>
  </w:style>
  <w:style w:type="paragraph" w:customStyle="1" w:styleId="Para3">
    <w:name w:val="Para3"/>
    <w:basedOn w:val="Normal"/>
    <w:rsid w:val="00557370"/>
    <w:pPr>
      <w:numPr>
        <w:ilvl w:val="2"/>
        <w:numId w:val="3"/>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2"/>
      </w:numPr>
      <w:tabs>
        <w:tab w:val="clear" w:pos="1080"/>
      </w:tabs>
      <w:spacing w:before="120" w:after="120"/>
      <w:ind w:left="927"/>
      <w:jc w:val="left"/>
    </w:pPr>
    <w:rPr>
      <w:snapToGrid w:val="0"/>
      <w:sz w:val="24"/>
      <w:szCs w:val="2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qFormat/>
    <w:rsid w:val="00557370"/>
    <w:pPr>
      <w:spacing w:after="160" w:line="240" w:lineRule="exact"/>
      <w:jc w:val="left"/>
    </w:pPr>
    <w:rPr>
      <w:rFonts w:asciiTheme="minorHAnsi" w:eastAsiaTheme="minorHAnsi" w:hAnsiTheme="minorHAnsi" w:cstheme="minorBidi"/>
      <w:kern w:val="2"/>
      <w:vertAlign w:val="superscript"/>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Lienhypertexte">
    <w:name w:val="Hyperlink"/>
    <w:basedOn w:val="Policepardfaut"/>
    <w:uiPriority w:val="99"/>
    <w:unhideWhenUsed/>
    <w:rsid w:val="004B72F0"/>
    <w:rPr>
      <w:rFonts w:ascii="Times New Roman" w:hAnsi="Times New Roman"/>
      <w:color w:val="0563C1" w:themeColor="hyperlink"/>
      <w:u w:val="single"/>
      <w:lang w:val="fr-CA"/>
    </w:rPr>
  </w:style>
  <w:style w:type="character" w:customStyle="1" w:styleId="UnresolvedMention1">
    <w:name w:val="Unresolved Mention1"/>
    <w:basedOn w:val="Policepardfaut"/>
    <w:uiPriority w:val="99"/>
    <w:semiHidden/>
    <w:unhideWhenUsed/>
    <w:rsid w:val="00C664D3"/>
    <w:rPr>
      <w:color w:val="605E5C"/>
      <w:shd w:val="clear" w:color="auto" w:fill="E1DFDD"/>
      <w:lang w:val="fr-CA"/>
    </w:rPr>
  </w:style>
  <w:style w:type="character" w:styleId="Lienhypertextesuivivisit">
    <w:name w:val="FollowedHyperlink"/>
    <w:basedOn w:val="Policepardfaut"/>
    <w:uiPriority w:val="99"/>
    <w:semiHidden/>
    <w:unhideWhenUsed/>
    <w:rsid w:val="00051B37"/>
    <w:rPr>
      <w:color w:val="954F72" w:themeColor="followedHyperlink"/>
      <w:u w:val="single"/>
      <w:lang w:val="fr-CA"/>
    </w:rPr>
  </w:style>
  <w:style w:type="paragraph" w:styleId="Retraitcorpsdetexte">
    <w:name w:val="Body Text Indent"/>
    <w:basedOn w:val="Normal"/>
    <w:link w:val="RetraitcorpsdetexteCar"/>
    <w:uiPriority w:val="99"/>
    <w:semiHidden/>
    <w:unhideWhenUsed/>
    <w:rsid w:val="00435E81"/>
    <w:pPr>
      <w:spacing w:after="120"/>
      <w:ind w:left="360"/>
    </w:pPr>
  </w:style>
  <w:style w:type="character" w:customStyle="1" w:styleId="RetraitcorpsdetexteCar">
    <w:name w:val="Retrait corps de texte Car"/>
    <w:basedOn w:val="Policepardfaut"/>
    <w:link w:val="Retraitcorpsdetexte"/>
    <w:uiPriority w:val="99"/>
    <w:semiHidden/>
    <w:rsid w:val="00435E81"/>
    <w:rPr>
      <w:rFonts w:ascii="Times New Roman" w:eastAsia="SimSun" w:hAnsi="Times New Roman" w:cs="Times New Roman"/>
      <w:kern w:val="0"/>
      <w:lang w:val="fr-CA"/>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4B72F0"/>
    <w:pPr>
      <w:ind w:left="720"/>
      <w:contextualSpacing/>
    </w:pPr>
  </w:style>
  <w:style w:type="paragraph" w:customStyle="1" w:styleId="Para10">
    <w:name w:val="Para1"/>
    <w:basedOn w:val="Normal"/>
    <w:link w:val="Para1Char"/>
    <w:rsid w:val="00F853AF"/>
    <w:pPr>
      <w:spacing w:before="120" w:after="120"/>
    </w:pPr>
    <w:rPr>
      <w:snapToGrid w:val="0"/>
      <w:szCs w:val="18"/>
    </w:rPr>
  </w:style>
  <w:style w:type="character" w:customStyle="1" w:styleId="Para1Char">
    <w:name w:val="Para1 Char"/>
    <w:link w:val="Para10"/>
    <w:locked/>
    <w:rsid w:val="00F853AF"/>
    <w:rPr>
      <w:rFonts w:ascii="Times New Roman" w:eastAsia="SimSun" w:hAnsi="Times New Roman" w:cs="Times New Roman"/>
      <w:snapToGrid w:val="0"/>
      <w:kern w:val="0"/>
      <w:szCs w:val="18"/>
      <w:lang w:val="fr-CA"/>
    </w:rPr>
  </w:style>
  <w:style w:type="paragraph" w:styleId="En-tte">
    <w:name w:val="header"/>
    <w:basedOn w:val="Normal"/>
    <w:link w:val="En-tteCar"/>
    <w:rsid w:val="004B72F0"/>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4B72F0"/>
    <w:rPr>
      <w:rFonts w:ascii="Times New Roman" w:eastAsia="SimSun" w:hAnsi="Times New Roman" w:cs="Times New Roman"/>
      <w:kern w:val="0"/>
      <w:sz w:val="20"/>
      <w:lang w:val="fr-CA"/>
    </w:rPr>
  </w:style>
  <w:style w:type="paragraph" w:customStyle="1" w:styleId="AEDistrNormal">
    <w:name w:val="AE_DistrNormal"/>
    <w:basedOn w:val="Normal"/>
    <w:unhideWhenUsed/>
    <w:rsid w:val="004B72F0"/>
    <w:pPr>
      <w:jc w:val="left"/>
    </w:pPr>
  </w:style>
  <w:style w:type="paragraph" w:customStyle="1" w:styleId="AASmallLogo">
    <w:name w:val="AA_SmallLogo"/>
    <w:basedOn w:val="AEDistrNormal"/>
    <w:unhideWhenUsed/>
    <w:rsid w:val="004B72F0"/>
    <w:pPr>
      <w:spacing w:before="40"/>
    </w:pPr>
    <w:rPr>
      <w:sz w:val="4"/>
    </w:rPr>
  </w:style>
  <w:style w:type="paragraph" w:customStyle="1" w:styleId="ABSymbol">
    <w:name w:val="AB_Symbol"/>
    <w:basedOn w:val="Normal"/>
    <w:qFormat/>
    <w:rsid w:val="004B72F0"/>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B72F0"/>
  </w:style>
  <w:style w:type="paragraph" w:customStyle="1" w:styleId="ACLargeLogo">
    <w:name w:val="AC_LargeLogo"/>
    <w:basedOn w:val="AFCorNotNormal"/>
    <w:next w:val="AISpacer"/>
    <w:unhideWhenUsed/>
    <w:rsid w:val="004B72F0"/>
    <w:pPr>
      <w:spacing w:before="120"/>
      <w:contextualSpacing/>
      <w:jc w:val="left"/>
    </w:pPr>
    <w:rPr>
      <w:sz w:val="8"/>
    </w:rPr>
  </w:style>
  <w:style w:type="paragraph" w:customStyle="1" w:styleId="AEDistrNormal6pt">
    <w:name w:val="AE_DistrNormal6pt"/>
    <w:basedOn w:val="AEDistrNormal"/>
    <w:next w:val="AFCorNotNormal"/>
    <w:unhideWhenUsed/>
    <w:qFormat/>
    <w:rsid w:val="004B72F0"/>
    <w:pPr>
      <w:spacing w:before="120"/>
    </w:pPr>
  </w:style>
  <w:style w:type="paragraph" w:customStyle="1" w:styleId="AENormal">
    <w:name w:val="AE_Normal"/>
    <w:basedOn w:val="Normal"/>
    <w:rsid w:val="004B72F0"/>
  </w:style>
  <w:style w:type="paragraph" w:customStyle="1" w:styleId="AFCorNot12Bold">
    <w:name w:val="AF_CorNot12Bold"/>
    <w:basedOn w:val="AFCorNotNormal"/>
    <w:next w:val="AFCorNotNormal"/>
    <w:unhideWhenUsed/>
    <w:qFormat/>
    <w:rsid w:val="004B72F0"/>
    <w:pPr>
      <w:jc w:val="left"/>
    </w:pPr>
    <w:rPr>
      <w:b/>
      <w:sz w:val="24"/>
    </w:rPr>
  </w:style>
  <w:style w:type="paragraph" w:customStyle="1" w:styleId="AFCorNotBold">
    <w:name w:val="AF_CorNotBold"/>
    <w:basedOn w:val="AFCorNotNormal"/>
    <w:next w:val="AFCorNotNormal"/>
    <w:unhideWhenUsed/>
    <w:qFormat/>
    <w:rsid w:val="004B72F0"/>
    <w:rPr>
      <w:b/>
    </w:rPr>
  </w:style>
  <w:style w:type="paragraph" w:customStyle="1" w:styleId="AISpacer">
    <w:name w:val="AI_Spacer"/>
    <w:next w:val="Normal"/>
    <w:unhideWhenUsed/>
    <w:qFormat/>
    <w:rsid w:val="004B72F0"/>
    <w:pPr>
      <w:spacing w:after="0" w:line="240" w:lineRule="auto"/>
    </w:pPr>
    <w:rPr>
      <w:rFonts w:ascii="Times New Roman" w:eastAsia="SimSun" w:hAnsi="Times New Roman" w:cs="Times New Roman"/>
      <w:kern w:val="0"/>
      <w:sz w:val="2"/>
    </w:rPr>
  </w:style>
  <w:style w:type="paragraph" w:customStyle="1" w:styleId="CBDAgendaItem">
    <w:name w:val="CBD_AgendaItem"/>
    <w:basedOn w:val="Normal"/>
    <w:qFormat/>
    <w:rsid w:val="004B72F0"/>
    <w:pPr>
      <w:keepNext/>
      <w:keepLines/>
      <w:spacing w:before="240" w:after="120"/>
      <w:jc w:val="left"/>
    </w:pPr>
    <w:rPr>
      <w:b/>
      <w:sz w:val="24"/>
    </w:rPr>
  </w:style>
  <w:style w:type="paragraph" w:customStyle="1" w:styleId="CBDNormal">
    <w:name w:val="CBD_Normal"/>
    <w:unhideWhenUsed/>
    <w:qFormat/>
    <w:rsid w:val="004B72F0"/>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rPr>
  </w:style>
  <w:style w:type="paragraph" w:customStyle="1" w:styleId="CBDAnnex">
    <w:name w:val="CBD_Annex"/>
    <w:basedOn w:val="CBDNormal"/>
    <w:next w:val="CBDTitle"/>
    <w:qFormat/>
    <w:rsid w:val="004B72F0"/>
    <w:pPr>
      <w:keepNext/>
      <w:keepLines/>
      <w:spacing w:after="240"/>
      <w:jc w:val="left"/>
    </w:pPr>
    <w:rPr>
      <w:b/>
      <w:sz w:val="28"/>
      <w:lang w:bidi="ar-SY"/>
    </w:rPr>
  </w:style>
  <w:style w:type="paragraph" w:customStyle="1" w:styleId="CBDDesicionAnnex">
    <w:name w:val="CBD_DesicionAnnex"/>
    <w:basedOn w:val="CBDNormal"/>
    <w:next w:val="CBDDesicionText"/>
    <w:qFormat/>
    <w:rsid w:val="004B72F0"/>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B72F0"/>
    <w:pPr>
      <w:spacing w:after="120"/>
      <w:ind w:left="567"/>
    </w:pPr>
  </w:style>
  <w:style w:type="paragraph" w:customStyle="1" w:styleId="CBDFigureTitle">
    <w:name w:val="CBD_FigureTitle"/>
    <w:basedOn w:val="CBDNormal"/>
    <w:next w:val="CBDNormalNoNumber"/>
    <w:qFormat/>
    <w:rsid w:val="004B72F0"/>
    <w:pPr>
      <w:keepNext/>
      <w:keepLines/>
      <w:spacing w:before="120" w:after="60"/>
      <w:ind w:left="567"/>
      <w:jc w:val="left"/>
    </w:pPr>
    <w:rPr>
      <w:b/>
    </w:rPr>
  </w:style>
  <w:style w:type="paragraph" w:customStyle="1" w:styleId="CBDFooter">
    <w:name w:val="CBD_Footer"/>
    <w:basedOn w:val="CBDNormal"/>
    <w:qFormat/>
    <w:rsid w:val="004B72F0"/>
    <w:rPr>
      <w:sz w:val="20"/>
    </w:rPr>
  </w:style>
  <w:style w:type="paragraph" w:customStyle="1" w:styleId="CBDFootnoteText">
    <w:name w:val="CBD_Footnote_Text"/>
    <w:basedOn w:val="CBDNormal"/>
    <w:qFormat/>
    <w:rsid w:val="004B72F0"/>
    <w:pPr>
      <w:jc w:val="left"/>
    </w:pPr>
    <w:rPr>
      <w:sz w:val="18"/>
    </w:rPr>
  </w:style>
  <w:style w:type="paragraph" w:customStyle="1" w:styleId="CBDH1">
    <w:name w:val="CBD_H1"/>
    <w:basedOn w:val="CBDNormal"/>
    <w:qFormat/>
    <w:rsid w:val="004B72F0"/>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B72F0"/>
    <w:pPr>
      <w:numPr>
        <w:numId w:val="12"/>
      </w:numPr>
      <w:tabs>
        <w:tab w:val="left" w:pos="3969"/>
      </w:tabs>
      <w:spacing w:before="120" w:after="120"/>
    </w:pPr>
  </w:style>
  <w:style w:type="paragraph" w:customStyle="1" w:styleId="CBDH2">
    <w:name w:val="CBD_H2"/>
    <w:basedOn w:val="CBDNormalNumber"/>
    <w:qFormat/>
    <w:rsid w:val="004B72F0"/>
    <w:pPr>
      <w:keepNext/>
      <w:keepLines/>
      <w:numPr>
        <w:numId w:val="0"/>
      </w:numPr>
      <w:ind w:left="567" w:hanging="567"/>
    </w:pPr>
    <w:rPr>
      <w:b/>
      <w:sz w:val="24"/>
    </w:rPr>
  </w:style>
  <w:style w:type="paragraph" w:customStyle="1" w:styleId="CBDH3">
    <w:name w:val="CBD_H3"/>
    <w:basedOn w:val="CBDNormal"/>
    <w:qFormat/>
    <w:rsid w:val="004B72F0"/>
    <w:pPr>
      <w:keepNext/>
      <w:keepLines/>
      <w:spacing w:before="120" w:after="120"/>
      <w:ind w:left="567" w:hanging="567"/>
      <w:jc w:val="left"/>
    </w:pPr>
    <w:rPr>
      <w:b/>
    </w:rPr>
  </w:style>
  <w:style w:type="paragraph" w:customStyle="1" w:styleId="CBDH4">
    <w:name w:val="CBD_H4"/>
    <w:basedOn w:val="CBDNormal"/>
    <w:rsid w:val="004B72F0"/>
    <w:pPr>
      <w:keepNext/>
      <w:keepLines/>
      <w:spacing w:before="120" w:after="120"/>
      <w:ind w:left="567" w:hanging="567"/>
      <w:jc w:val="left"/>
    </w:pPr>
    <w:rPr>
      <w:b/>
    </w:rPr>
  </w:style>
  <w:style w:type="paragraph" w:customStyle="1" w:styleId="CBDH5">
    <w:name w:val="CBD_H5"/>
    <w:basedOn w:val="CBDNormal"/>
    <w:qFormat/>
    <w:rsid w:val="004B72F0"/>
    <w:pPr>
      <w:keepNext/>
      <w:keepLines/>
      <w:spacing w:before="120" w:after="120"/>
      <w:ind w:left="567" w:hanging="567"/>
      <w:jc w:val="left"/>
    </w:pPr>
    <w:rPr>
      <w:i/>
    </w:rPr>
  </w:style>
  <w:style w:type="paragraph" w:customStyle="1" w:styleId="CBDHeader">
    <w:name w:val="CBD_Header"/>
    <w:basedOn w:val="CBDNormal"/>
    <w:next w:val="CBDFooter"/>
    <w:qFormat/>
    <w:rsid w:val="004B72F0"/>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4B72F0"/>
    <w:pPr>
      <w:numPr>
        <w:numId w:val="4"/>
      </w:numPr>
    </w:pPr>
  </w:style>
  <w:style w:type="numbering" w:customStyle="1" w:styleId="CBDHeadings">
    <w:name w:val="CBD_Headings"/>
    <w:basedOn w:val="ListCBD"/>
    <w:uiPriority w:val="99"/>
    <w:rsid w:val="004B72F0"/>
    <w:pPr>
      <w:numPr>
        <w:numId w:val="5"/>
      </w:numPr>
    </w:pPr>
  </w:style>
  <w:style w:type="paragraph" w:customStyle="1" w:styleId="CBDNormalNoNumber">
    <w:name w:val="CBD_Normal_NoNumber"/>
    <w:basedOn w:val="CBDNormal"/>
    <w:qFormat/>
    <w:rsid w:val="004B72F0"/>
    <w:pPr>
      <w:spacing w:after="120"/>
      <w:ind w:left="567"/>
    </w:pPr>
  </w:style>
  <w:style w:type="paragraph" w:customStyle="1" w:styleId="CBDSubTitle">
    <w:name w:val="CBD_SubTitle"/>
    <w:basedOn w:val="CBDNormal"/>
    <w:qFormat/>
    <w:rsid w:val="004B72F0"/>
    <w:pPr>
      <w:keepNext/>
      <w:keepLines/>
      <w:spacing w:before="240" w:after="240"/>
      <w:ind w:left="567"/>
      <w:jc w:val="left"/>
    </w:pPr>
    <w:rPr>
      <w:b/>
    </w:rPr>
  </w:style>
  <w:style w:type="paragraph" w:customStyle="1" w:styleId="CBDTableNormal">
    <w:name w:val="CBD_TableNormal"/>
    <w:basedOn w:val="CBDNormal"/>
    <w:qFormat/>
    <w:rsid w:val="004B72F0"/>
    <w:pPr>
      <w:spacing w:before="40" w:after="80"/>
      <w:jc w:val="left"/>
    </w:pPr>
    <w:rPr>
      <w:sz w:val="20"/>
    </w:rPr>
  </w:style>
  <w:style w:type="paragraph" w:customStyle="1" w:styleId="CBDTableTitle">
    <w:name w:val="CBD_TableTitle"/>
    <w:basedOn w:val="CBDNormal"/>
    <w:qFormat/>
    <w:rsid w:val="004B72F0"/>
    <w:pPr>
      <w:keepNext/>
      <w:keepLines/>
      <w:spacing w:before="120" w:after="60"/>
      <w:ind w:left="567"/>
      <w:jc w:val="left"/>
    </w:pPr>
    <w:rPr>
      <w:b/>
    </w:rPr>
  </w:style>
  <w:style w:type="paragraph" w:customStyle="1" w:styleId="CBDTitle">
    <w:name w:val="CBD_Title"/>
    <w:basedOn w:val="CBDNormal"/>
    <w:next w:val="CBDSubTitle"/>
    <w:qFormat/>
    <w:rsid w:val="004B72F0"/>
    <w:pPr>
      <w:keepNext/>
      <w:keepLines/>
      <w:spacing w:before="240" w:after="240"/>
      <w:ind w:left="567"/>
      <w:jc w:val="left"/>
    </w:pPr>
    <w:rPr>
      <w:b/>
      <w:sz w:val="28"/>
    </w:rPr>
  </w:style>
  <w:style w:type="character" w:customStyle="1" w:styleId="Titre6Car">
    <w:name w:val="Titre 6 Car"/>
    <w:basedOn w:val="Policepardfaut"/>
    <w:link w:val="Titre6"/>
    <w:semiHidden/>
    <w:rsid w:val="004B72F0"/>
    <w:rPr>
      <w:rFonts w:ascii="Times New Roman" w:eastAsia="SimSun" w:hAnsi="Times New Roman" w:cs="Times New Roman"/>
      <w:bCs/>
      <w:kern w:val="0"/>
      <w:sz w:val="24"/>
      <w:lang w:val="fr-CA"/>
    </w:rPr>
  </w:style>
  <w:style w:type="character" w:customStyle="1" w:styleId="Titre7Car">
    <w:name w:val="Titre 7 Car"/>
    <w:basedOn w:val="Policepardfaut"/>
    <w:link w:val="Titre7"/>
    <w:semiHidden/>
    <w:rsid w:val="004B72F0"/>
    <w:rPr>
      <w:rFonts w:ascii="Times New Roman" w:eastAsia="SimSun" w:hAnsi="Times New Roman" w:cs="Times New Roman"/>
      <w:b/>
      <w:snapToGrid w:val="0"/>
      <w:kern w:val="0"/>
      <w:u w:val="single"/>
      <w:lang w:val="fr-CA"/>
    </w:rPr>
  </w:style>
  <w:style w:type="character" w:customStyle="1" w:styleId="Titre8Car">
    <w:name w:val="Titre 8 Car"/>
    <w:basedOn w:val="Policepardfaut"/>
    <w:link w:val="Titre8"/>
    <w:semiHidden/>
    <w:rsid w:val="004B72F0"/>
    <w:rPr>
      <w:rFonts w:ascii="Times New Roman" w:eastAsia="SimSun" w:hAnsi="Times New Roman" w:cs="Times New Roman"/>
      <w:b/>
      <w:snapToGrid w:val="0"/>
      <w:kern w:val="0"/>
      <w:u w:val="single"/>
      <w:lang w:val="fr-CA"/>
    </w:rPr>
  </w:style>
  <w:style w:type="character" w:customStyle="1" w:styleId="Titre9Car">
    <w:name w:val="Titre 9 Car"/>
    <w:basedOn w:val="Policepardfaut"/>
    <w:link w:val="Titre9"/>
    <w:semiHidden/>
    <w:rsid w:val="004B72F0"/>
    <w:rPr>
      <w:rFonts w:ascii="Times New Roman" w:eastAsia="SimSun" w:hAnsi="Times New Roman" w:cs="Times New Roman"/>
      <w:snapToGrid w:val="0"/>
      <w:kern w:val="0"/>
      <w:u w:val="single"/>
      <w:lang w:val="fr-CA"/>
    </w:rPr>
  </w:style>
  <w:style w:type="paragraph" w:styleId="Liste">
    <w:name w:val="List"/>
    <w:basedOn w:val="Normal"/>
    <w:semiHidden/>
    <w:rsid w:val="004B72F0"/>
    <w:pPr>
      <w:contextualSpacing/>
    </w:pPr>
  </w:style>
  <w:style w:type="paragraph" w:styleId="TM9">
    <w:name w:val="toc 9"/>
    <w:basedOn w:val="Normal"/>
    <w:next w:val="Normal"/>
    <w:autoRedefine/>
    <w:uiPriority w:val="39"/>
    <w:semiHidden/>
    <w:rsid w:val="00D81167"/>
    <w:pPr>
      <w:tabs>
        <w:tab w:val="num" w:pos="2171"/>
      </w:tabs>
      <w:spacing w:before="120" w:after="120"/>
      <w:ind w:left="2171" w:hanging="360"/>
      <w:jc w:val="left"/>
    </w:pPr>
  </w:style>
  <w:style w:type="character" w:customStyle="1" w:styleId="None">
    <w:name w:val="None"/>
    <w:rsid w:val="00D81167"/>
    <w:rPr>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E62708"/>
    <w:rPr>
      <w:rFonts w:ascii="Times New Roman" w:eastAsia="SimSun" w:hAnsi="Times New Roman" w:cs="Times New Roman"/>
      <w:kern w:val="0"/>
      <w:lang w:val="fr-CA"/>
    </w:rPr>
  </w:style>
  <w:style w:type="paragraph" w:customStyle="1" w:styleId="DarkList-Accent31">
    <w:name w:val="Dark List - Accent 31"/>
    <w:hidden/>
    <w:uiPriority w:val="99"/>
    <w:semiHidden/>
    <w:rsid w:val="004B72F0"/>
    <w:pPr>
      <w:spacing w:after="0" w:line="240" w:lineRule="auto"/>
    </w:pPr>
    <w:rPr>
      <w:rFonts w:ascii="Times New Roman" w:eastAsia="SimSun" w:hAnsi="Times New Roman" w:cs="Times New Roman"/>
      <w:kern w:val="0"/>
      <w:lang w:eastAsia="en-GB"/>
    </w:rPr>
  </w:style>
  <w:style w:type="paragraph" w:styleId="Textedebulles">
    <w:name w:val="Balloon Text"/>
    <w:basedOn w:val="Normal"/>
    <w:link w:val="TextedebullesCar"/>
    <w:uiPriority w:val="99"/>
    <w:semiHidden/>
    <w:unhideWhenUsed/>
    <w:rsid w:val="004B72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2F0"/>
    <w:rPr>
      <w:rFonts w:ascii="Segoe UI" w:eastAsia="SimSun" w:hAnsi="Segoe UI" w:cs="Segoe UI"/>
      <w:kern w:val="0"/>
      <w:sz w:val="18"/>
      <w:szCs w:val="18"/>
      <w:lang w:val="fr-CA"/>
    </w:rPr>
  </w:style>
  <w:style w:type="paragraph" w:styleId="Bibliographie">
    <w:name w:val="Bibliography"/>
    <w:basedOn w:val="Normal"/>
    <w:next w:val="Normal"/>
    <w:uiPriority w:val="37"/>
    <w:semiHidden/>
    <w:unhideWhenUsed/>
    <w:rsid w:val="004B72F0"/>
  </w:style>
  <w:style w:type="paragraph" w:styleId="Normalcentr">
    <w:name w:val="Block Text"/>
    <w:basedOn w:val="Normal"/>
    <w:uiPriority w:val="99"/>
    <w:semiHidden/>
    <w:unhideWhenUsed/>
    <w:rsid w:val="004B7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4B72F0"/>
    <w:pPr>
      <w:spacing w:after="120" w:line="480" w:lineRule="auto"/>
    </w:pPr>
  </w:style>
  <w:style w:type="character" w:customStyle="1" w:styleId="Corpsdetexte2Car">
    <w:name w:val="Corps de texte 2 Car"/>
    <w:basedOn w:val="Policepardfaut"/>
    <w:link w:val="Corpsdetexte2"/>
    <w:uiPriority w:val="99"/>
    <w:semiHidden/>
    <w:rsid w:val="004B72F0"/>
    <w:rPr>
      <w:rFonts w:ascii="Times New Roman" w:eastAsia="SimSun" w:hAnsi="Times New Roman" w:cs="Times New Roman"/>
      <w:kern w:val="0"/>
      <w:lang w:val="fr-CA"/>
    </w:rPr>
  </w:style>
  <w:style w:type="paragraph" w:styleId="Corpsdetexte3">
    <w:name w:val="Body Text 3"/>
    <w:basedOn w:val="Normal"/>
    <w:link w:val="Corpsdetexte3Car"/>
    <w:uiPriority w:val="99"/>
    <w:semiHidden/>
    <w:unhideWhenUsed/>
    <w:rsid w:val="004B72F0"/>
    <w:pPr>
      <w:spacing w:after="120"/>
    </w:pPr>
    <w:rPr>
      <w:sz w:val="16"/>
      <w:szCs w:val="16"/>
    </w:rPr>
  </w:style>
  <w:style w:type="character" w:customStyle="1" w:styleId="Corpsdetexte3Car">
    <w:name w:val="Corps de texte 3 Car"/>
    <w:basedOn w:val="Policepardfaut"/>
    <w:link w:val="Corpsdetexte3"/>
    <w:uiPriority w:val="99"/>
    <w:semiHidden/>
    <w:rsid w:val="004B72F0"/>
    <w:rPr>
      <w:rFonts w:ascii="Times New Roman" w:eastAsia="SimSun" w:hAnsi="Times New Roman" w:cs="Times New Roman"/>
      <w:kern w:val="0"/>
      <w:sz w:val="16"/>
      <w:szCs w:val="16"/>
      <w:lang w:val="fr-CA"/>
    </w:rPr>
  </w:style>
  <w:style w:type="paragraph" w:styleId="Retrait1religne">
    <w:name w:val="Body Text First Indent"/>
    <w:basedOn w:val="Corpsdetexte"/>
    <w:link w:val="Retrait1religneCar"/>
    <w:uiPriority w:val="99"/>
    <w:semiHidden/>
    <w:unhideWhenUsed/>
    <w:rsid w:val="004B72F0"/>
    <w:pPr>
      <w:spacing w:after="0" w:line="240" w:lineRule="auto"/>
      <w:ind w:firstLine="360"/>
      <w:jc w:val="both"/>
    </w:pPr>
    <w:rPr>
      <w:rFonts w:ascii="Times New Roman" w:eastAsia="SimSun" w:hAnsi="Times New Roman" w:cs="Times New Roman"/>
      <w:kern w:val="0"/>
    </w:rPr>
  </w:style>
  <w:style w:type="character" w:customStyle="1" w:styleId="Retrait1religneCar">
    <w:name w:val="Retrait 1re ligne Car"/>
    <w:basedOn w:val="CorpsdetexteCar"/>
    <w:link w:val="Retrait1religne"/>
    <w:uiPriority w:val="99"/>
    <w:semiHidden/>
    <w:rsid w:val="004B72F0"/>
    <w:rPr>
      <w:rFonts w:ascii="Times New Roman" w:eastAsia="SimSun" w:hAnsi="Times New Roman" w:cs="Times New Roman"/>
      <w:kern w:val="0"/>
      <w:lang w:val="fr-CA"/>
    </w:rPr>
  </w:style>
  <w:style w:type="paragraph" w:styleId="Retraitcorpset1relig">
    <w:name w:val="Body Text First Indent 2"/>
    <w:basedOn w:val="Retraitcorpsdetexte"/>
    <w:link w:val="Retraitcorpset1religCar"/>
    <w:uiPriority w:val="99"/>
    <w:semiHidden/>
    <w:unhideWhenUsed/>
    <w:rsid w:val="004B72F0"/>
    <w:pPr>
      <w:spacing w:after="0"/>
      <w:ind w:firstLine="360"/>
    </w:pPr>
  </w:style>
  <w:style w:type="character" w:customStyle="1" w:styleId="Retraitcorpset1religCar">
    <w:name w:val="Retrait corps et 1re lig. Car"/>
    <w:basedOn w:val="RetraitcorpsdetexteCar"/>
    <w:link w:val="Retraitcorpset1relig"/>
    <w:uiPriority w:val="99"/>
    <w:semiHidden/>
    <w:rsid w:val="004B72F0"/>
    <w:rPr>
      <w:rFonts w:ascii="Times New Roman" w:eastAsia="SimSun" w:hAnsi="Times New Roman" w:cs="Times New Roman"/>
      <w:kern w:val="0"/>
      <w:lang w:val="fr-CA"/>
    </w:rPr>
  </w:style>
  <w:style w:type="paragraph" w:styleId="Retraitcorpsdetexte2">
    <w:name w:val="Body Text Indent 2"/>
    <w:basedOn w:val="Normal"/>
    <w:link w:val="Retraitcorpsdetexte2Car"/>
    <w:uiPriority w:val="99"/>
    <w:semiHidden/>
    <w:unhideWhenUsed/>
    <w:rsid w:val="004B72F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B72F0"/>
    <w:rPr>
      <w:rFonts w:ascii="Times New Roman" w:eastAsia="SimSun" w:hAnsi="Times New Roman" w:cs="Times New Roman"/>
      <w:kern w:val="0"/>
      <w:lang w:val="fr-CA"/>
    </w:rPr>
  </w:style>
  <w:style w:type="paragraph" w:styleId="Retraitcorpsdetexte3">
    <w:name w:val="Body Text Indent 3"/>
    <w:basedOn w:val="Normal"/>
    <w:link w:val="Retraitcorpsdetexte3Car"/>
    <w:uiPriority w:val="99"/>
    <w:semiHidden/>
    <w:unhideWhenUsed/>
    <w:rsid w:val="004B72F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B72F0"/>
    <w:rPr>
      <w:rFonts w:ascii="Times New Roman" w:eastAsia="SimSun" w:hAnsi="Times New Roman" w:cs="Times New Roman"/>
      <w:kern w:val="0"/>
      <w:sz w:val="16"/>
      <w:szCs w:val="16"/>
      <w:lang w:val="fr-CA"/>
    </w:rPr>
  </w:style>
  <w:style w:type="character" w:styleId="Titredulivre">
    <w:name w:val="Book Title"/>
    <w:basedOn w:val="Policepardfaut"/>
    <w:uiPriority w:val="33"/>
    <w:qFormat/>
    <w:rsid w:val="004B72F0"/>
    <w:rPr>
      <w:b/>
      <w:bCs/>
      <w:i/>
      <w:iCs/>
      <w:spacing w:val="5"/>
      <w:lang w:val="fr-CA"/>
    </w:rPr>
  </w:style>
  <w:style w:type="paragraph" w:styleId="Lgende">
    <w:name w:val="caption"/>
    <w:basedOn w:val="Normal"/>
    <w:next w:val="Normal"/>
    <w:uiPriority w:val="35"/>
    <w:semiHidden/>
    <w:unhideWhenUsed/>
    <w:qFormat/>
    <w:rsid w:val="004B72F0"/>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4B72F0"/>
    <w:pPr>
      <w:ind w:left="4252"/>
    </w:pPr>
  </w:style>
  <w:style w:type="character" w:customStyle="1" w:styleId="FormuledepolitesseCar">
    <w:name w:val="Formule de politesse Car"/>
    <w:basedOn w:val="Policepardfaut"/>
    <w:link w:val="Formuledepolitesse"/>
    <w:uiPriority w:val="99"/>
    <w:semiHidden/>
    <w:rsid w:val="004B72F0"/>
    <w:rPr>
      <w:rFonts w:ascii="Times New Roman" w:eastAsia="SimSun" w:hAnsi="Times New Roman" w:cs="Times New Roman"/>
      <w:kern w:val="0"/>
      <w:lang w:val="fr-CA"/>
    </w:rPr>
  </w:style>
  <w:style w:type="table" w:customStyle="1" w:styleId="Grillecouleur1">
    <w:name w:val="Grille couleur1"/>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couleur1">
    <w:name w:val="Liste couleur1"/>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4B72F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ramecouleur1">
    <w:name w:val="Trame couleur1"/>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B72F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Listefonce1">
    <w:name w:val="Liste foncée1"/>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4B72F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4B72F0"/>
  </w:style>
  <w:style w:type="character" w:customStyle="1" w:styleId="DateCar">
    <w:name w:val="Date Car"/>
    <w:basedOn w:val="Policepardfaut"/>
    <w:link w:val="Date"/>
    <w:uiPriority w:val="99"/>
    <w:semiHidden/>
    <w:rsid w:val="004B72F0"/>
    <w:rPr>
      <w:rFonts w:ascii="Times New Roman" w:eastAsia="SimSun" w:hAnsi="Times New Roman" w:cs="Times New Roman"/>
      <w:kern w:val="0"/>
      <w:lang w:val="fr-CA"/>
    </w:rPr>
  </w:style>
  <w:style w:type="paragraph" w:styleId="Explorateurdedocuments">
    <w:name w:val="Document Map"/>
    <w:basedOn w:val="Normal"/>
    <w:link w:val="ExplorateurdedocumentsCar"/>
    <w:uiPriority w:val="99"/>
    <w:semiHidden/>
    <w:unhideWhenUsed/>
    <w:rsid w:val="004B72F0"/>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B72F0"/>
    <w:rPr>
      <w:rFonts w:ascii="Segoe UI" w:eastAsia="SimSun" w:hAnsi="Segoe UI" w:cs="Segoe UI"/>
      <w:kern w:val="0"/>
      <w:sz w:val="16"/>
      <w:szCs w:val="16"/>
      <w:lang w:val="fr-CA"/>
    </w:rPr>
  </w:style>
  <w:style w:type="paragraph" w:styleId="Signaturelectronique">
    <w:name w:val="E-mail Signature"/>
    <w:basedOn w:val="Normal"/>
    <w:link w:val="SignaturelectroniqueCar"/>
    <w:uiPriority w:val="99"/>
    <w:semiHidden/>
    <w:unhideWhenUsed/>
    <w:rsid w:val="004B72F0"/>
  </w:style>
  <w:style w:type="character" w:customStyle="1" w:styleId="SignaturelectroniqueCar">
    <w:name w:val="Signature électronique Car"/>
    <w:basedOn w:val="Policepardfaut"/>
    <w:link w:val="Signaturelectronique"/>
    <w:uiPriority w:val="99"/>
    <w:semiHidden/>
    <w:rsid w:val="004B72F0"/>
    <w:rPr>
      <w:rFonts w:ascii="Times New Roman" w:eastAsia="SimSun" w:hAnsi="Times New Roman" w:cs="Times New Roman"/>
      <w:kern w:val="0"/>
      <w:lang w:val="fr-CA"/>
    </w:rPr>
  </w:style>
  <w:style w:type="character" w:styleId="Accentuation">
    <w:name w:val="Emphasis"/>
    <w:basedOn w:val="Policepardfaut"/>
    <w:uiPriority w:val="20"/>
    <w:qFormat/>
    <w:rsid w:val="004B72F0"/>
    <w:rPr>
      <w:i/>
      <w:iCs/>
      <w:lang w:val="fr-CA"/>
    </w:rPr>
  </w:style>
  <w:style w:type="character" w:styleId="Appeldenotedefin">
    <w:name w:val="endnote reference"/>
    <w:basedOn w:val="Policepardfaut"/>
    <w:uiPriority w:val="99"/>
    <w:semiHidden/>
    <w:unhideWhenUsed/>
    <w:rsid w:val="004B72F0"/>
    <w:rPr>
      <w:vertAlign w:val="superscript"/>
      <w:lang w:val="fr-CA"/>
    </w:rPr>
  </w:style>
  <w:style w:type="paragraph" w:styleId="Notedefin">
    <w:name w:val="endnote text"/>
    <w:basedOn w:val="Normal"/>
    <w:link w:val="NotedefinCar"/>
    <w:uiPriority w:val="99"/>
    <w:semiHidden/>
    <w:unhideWhenUsed/>
    <w:rsid w:val="004B72F0"/>
    <w:rPr>
      <w:sz w:val="20"/>
      <w:szCs w:val="20"/>
    </w:rPr>
  </w:style>
  <w:style w:type="character" w:customStyle="1" w:styleId="NotedefinCar">
    <w:name w:val="Note de fin Car"/>
    <w:basedOn w:val="Policepardfaut"/>
    <w:link w:val="Notedefin"/>
    <w:uiPriority w:val="99"/>
    <w:semiHidden/>
    <w:rsid w:val="004B72F0"/>
    <w:rPr>
      <w:rFonts w:ascii="Times New Roman" w:eastAsia="SimSun" w:hAnsi="Times New Roman" w:cs="Times New Roman"/>
      <w:kern w:val="0"/>
      <w:sz w:val="20"/>
      <w:szCs w:val="20"/>
      <w:lang w:val="fr-CA"/>
    </w:rPr>
  </w:style>
  <w:style w:type="paragraph" w:styleId="Adressedestinataire">
    <w:name w:val="envelope address"/>
    <w:basedOn w:val="Normal"/>
    <w:uiPriority w:val="99"/>
    <w:semiHidden/>
    <w:unhideWhenUsed/>
    <w:rsid w:val="004B72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B72F0"/>
    <w:rPr>
      <w:rFonts w:asciiTheme="majorHAnsi" w:eastAsiaTheme="majorEastAsia" w:hAnsiTheme="majorHAnsi" w:cstheme="majorBidi"/>
      <w:sz w:val="20"/>
      <w:szCs w:val="20"/>
    </w:rPr>
  </w:style>
  <w:style w:type="table" w:customStyle="1" w:styleId="TableauGrille1Clair1">
    <w:name w:val="Tableau Grille 1 Clair1"/>
    <w:basedOn w:val="TableauNormal"/>
    <w:uiPriority w:val="46"/>
    <w:rsid w:val="004B7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4B72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4B72F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4B72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4B72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4B72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4B72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4B72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4B72F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2-Accentuation21">
    <w:name w:val="Tableau Grille 2 - Accentuation 21"/>
    <w:basedOn w:val="TableauNormal"/>
    <w:uiPriority w:val="47"/>
    <w:rsid w:val="004B72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4B72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4B72F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4B72F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2-Accentuation61">
    <w:name w:val="Tableau Grille 2 - Accentuation 61"/>
    <w:basedOn w:val="TableauNormal"/>
    <w:uiPriority w:val="47"/>
    <w:rsid w:val="004B72F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3-Accentuation21">
    <w:name w:val="Tableau Grille 3 - Accentuation 21"/>
    <w:basedOn w:val="TableauNormal"/>
    <w:uiPriority w:val="48"/>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3-Accentuation61">
    <w:name w:val="Tableau Grille 3 - Accentuation 61"/>
    <w:basedOn w:val="TableauNormal"/>
    <w:uiPriority w:val="48"/>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21">
    <w:name w:val="Tableau Grille 4 - Accentuation 21"/>
    <w:basedOn w:val="Tableau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auGrille5Fonc-Accentuation21">
    <w:name w:val="Tableau Grille 5 Foncé - Accentuation 2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Grille5Fonc-Accentuation61">
    <w:name w:val="Tableau Grille 5 Foncé - Accentuation 61"/>
    <w:basedOn w:val="Tableau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21">
    <w:name w:val="Tableau Grille 6 Couleur - Accentuation 21"/>
    <w:basedOn w:val="TableauNormal"/>
    <w:uiPriority w:val="51"/>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61">
    <w:name w:val="Tableau Grille 6 Couleur - Accentuation 61"/>
    <w:basedOn w:val="TableauNormal"/>
    <w:uiPriority w:val="51"/>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7Couleur-Accentuation21">
    <w:name w:val="Tableau Grille 7 Couleur - Accentuation 21"/>
    <w:basedOn w:val="TableauNormal"/>
    <w:uiPriority w:val="52"/>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7Couleur-Accentuation61">
    <w:name w:val="Tableau Grille 7 Couleur - Accentuation 61"/>
    <w:basedOn w:val="TableauNormal"/>
    <w:uiPriority w:val="52"/>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olicepardfaut"/>
    <w:uiPriority w:val="99"/>
    <w:semiHidden/>
    <w:unhideWhenUsed/>
    <w:rsid w:val="004B72F0"/>
    <w:rPr>
      <w:color w:val="2B579A"/>
      <w:shd w:val="clear" w:color="auto" w:fill="E1DFDD"/>
      <w:lang w:val="fr-CA"/>
    </w:rPr>
  </w:style>
  <w:style w:type="character" w:styleId="AcronymeHTML">
    <w:name w:val="HTML Acronym"/>
    <w:basedOn w:val="Policepardfaut"/>
    <w:uiPriority w:val="99"/>
    <w:semiHidden/>
    <w:unhideWhenUsed/>
    <w:rsid w:val="004B72F0"/>
    <w:rPr>
      <w:lang w:val="fr-CA"/>
    </w:rPr>
  </w:style>
  <w:style w:type="paragraph" w:styleId="AdresseHTML">
    <w:name w:val="HTML Address"/>
    <w:basedOn w:val="Normal"/>
    <w:link w:val="AdresseHTMLCar"/>
    <w:uiPriority w:val="99"/>
    <w:semiHidden/>
    <w:unhideWhenUsed/>
    <w:rsid w:val="004B72F0"/>
    <w:rPr>
      <w:i/>
      <w:iCs/>
    </w:rPr>
  </w:style>
  <w:style w:type="character" w:customStyle="1" w:styleId="AdresseHTMLCar">
    <w:name w:val="Adresse HTML Car"/>
    <w:basedOn w:val="Policepardfaut"/>
    <w:link w:val="AdresseHTML"/>
    <w:uiPriority w:val="99"/>
    <w:semiHidden/>
    <w:rsid w:val="004B72F0"/>
    <w:rPr>
      <w:rFonts w:ascii="Times New Roman" w:eastAsia="SimSun" w:hAnsi="Times New Roman" w:cs="Times New Roman"/>
      <w:i/>
      <w:iCs/>
      <w:kern w:val="0"/>
      <w:lang w:val="fr-CA"/>
    </w:rPr>
  </w:style>
  <w:style w:type="character" w:styleId="CitationHTML">
    <w:name w:val="HTML Cite"/>
    <w:basedOn w:val="Policepardfaut"/>
    <w:uiPriority w:val="99"/>
    <w:semiHidden/>
    <w:unhideWhenUsed/>
    <w:rsid w:val="004B72F0"/>
    <w:rPr>
      <w:i/>
      <w:iCs/>
      <w:lang w:val="fr-CA"/>
    </w:rPr>
  </w:style>
  <w:style w:type="character" w:styleId="CodeHTML">
    <w:name w:val="HTML Code"/>
    <w:basedOn w:val="Policepardfaut"/>
    <w:uiPriority w:val="99"/>
    <w:semiHidden/>
    <w:unhideWhenUsed/>
    <w:rsid w:val="004B72F0"/>
    <w:rPr>
      <w:rFonts w:ascii="Consolas" w:hAnsi="Consolas"/>
      <w:sz w:val="20"/>
      <w:szCs w:val="20"/>
      <w:lang w:val="fr-CA"/>
    </w:rPr>
  </w:style>
  <w:style w:type="character" w:styleId="DfinitionHTML">
    <w:name w:val="HTML Definition"/>
    <w:basedOn w:val="Policepardfaut"/>
    <w:uiPriority w:val="99"/>
    <w:semiHidden/>
    <w:unhideWhenUsed/>
    <w:rsid w:val="004B72F0"/>
    <w:rPr>
      <w:i/>
      <w:iCs/>
      <w:lang w:val="fr-CA"/>
    </w:rPr>
  </w:style>
  <w:style w:type="character" w:styleId="ClavierHTML">
    <w:name w:val="HTML Keyboard"/>
    <w:basedOn w:val="Policepardfaut"/>
    <w:uiPriority w:val="99"/>
    <w:semiHidden/>
    <w:unhideWhenUsed/>
    <w:rsid w:val="004B72F0"/>
    <w:rPr>
      <w:rFonts w:ascii="Consolas" w:hAnsi="Consolas"/>
      <w:sz w:val="20"/>
      <w:szCs w:val="20"/>
      <w:lang w:val="fr-CA"/>
    </w:rPr>
  </w:style>
  <w:style w:type="paragraph" w:styleId="PrformatHTML">
    <w:name w:val="HTML Preformatted"/>
    <w:basedOn w:val="Normal"/>
    <w:link w:val="PrformatHTMLCar"/>
    <w:uiPriority w:val="99"/>
    <w:semiHidden/>
    <w:unhideWhenUsed/>
    <w:rsid w:val="004B72F0"/>
    <w:rPr>
      <w:rFonts w:ascii="Consolas" w:hAnsi="Consolas"/>
      <w:sz w:val="20"/>
      <w:szCs w:val="20"/>
    </w:rPr>
  </w:style>
  <w:style w:type="character" w:customStyle="1" w:styleId="PrformatHTMLCar">
    <w:name w:val="Préformaté HTML Car"/>
    <w:basedOn w:val="Policepardfaut"/>
    <w:link w:val="PrformatHTML"/>
    <w:uiPriority w:val="99"/>
    <w:semiHidden/>
    <w:rsid w:val="004B72F0"/>
    <w:rPr>
      <w:rFonts w:ascii="Consolas" w:eastAsia="SimSun" w:hAnsi="Consolas" w:cs="Times New Roman"/>
      <w:kern w:val="0"/>
      <w:sz w:val="20"/>
      <w:szCs w:val="20"/>
      <w:lang w:val="fr-CA"/>
    </w:rPr>
  </w:style>
  <w:style w:type="character" w:styleId="ExempleHTML">
    <w:name w:val="HTML Sample"/>
    <w:basedOn w:val="Policepardfaut"/>
    <w:uiPriority w:val="99"/>
    <w:semiHidden/>
    <w:unhideWhenUsed/>
    <w:rsid w:val="004B72F0"/>
    <w:rPr>
      <w:rFonts w:ascii="Consolas" w:hAnsi="Consolas"/>
      <w:sz w:val="24"/>
      <w:szCs w:val="24"/>
      <w:lang w:val="fr-CA"/>
    </w:rPr>
  </w:style>
  <w:style w:type="character" w:styleId="MachinecrireHTML">
    <w:name w:val="HTML Typewriter"/>
    <w:basedOn w:val="Policepardfaut"/>
    <w:uiPriority w:val="99"/>
    <w:semiHidden/>
    <w:unhideWhenUsed/>
    <w:rsid w:val="004B72F0"/>
    <w:rPr>
      <w:rFonts w:ascii="Consolas" w:hAnsi="Consolas"/>
      <w:sz w:val="20"/>
      <w:szCs w:val="20"/>
      <w:lang w:val="fr-CA"/>
    </w:rPr>
  </w:style>
  <w:style w:type="character" w:styleId="VariableHTML">
    <w:name w:val="HTML Variable"/>
    <w:basedOn w:val="Policepardfaut"/>
    <w:uiPriority w:val="99"/>
    <w:semiHidden/>
    <w:unhideWhenUsed/>
    <w:rsid w:val="004B72F0"/>
    <w:rPr>
      <w:i/>
      <w:iCs/>
      <w:lang w:val="fr-CA"/>
    </w:rPr>
  </w:style>
  <w:style w:type="paragraph" w:styleId="Index1">
    <w:name w:val="index 1"/>
    <w:basedOn w:val="Normal"/>
    <w:next w:val="Normal"/>
    <w:autoRedefine/>
    <w:uiPriority w:val="99"/>
    <w:semiHidden/>
    <w:unhideWhenUsed/>
    <w:rsid w:val="004B72F0"/>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B72F0"/>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B72F0"/>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B72F0"/>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B72F0"/>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B72F0"/>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B72F0"/>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B72F0"/>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B72F0"/>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4B72F0"/>
    <w:rPr>
      <w:rFonts w:asciiTheme="majorHAnsi" w:eastAsiaTheme="majorEastAsia" w:hAnsiTheme="majorHAnsi" w:cstheme="majorBidi"/>
      <w:b/>
      <w:bCs/>
    </w:rPr>
  </w:style>
  <w:style w:type="character" w:styleId="Accentuationintense">
    <w:name w:val="Intense Emphasis"/>
    <w:basedOn w:val="Policepardfaut"/>
    <w:uiPriority w:val="21"/>
    <w:qFormat/>
    <w:rsid w:val="004B72F0"/>
    <w:rPr>
      <w:i/>
      <w:iCs/>
      <w:color w:val="4472C4" w:themeColor="accent1"/>
      <w:lang w:val="fr-CA"/>
    </w:rPr>
  </w:style>
  <w:style w:type="paragraph" w:styleId="Citationintense">
    <w:name w:val="Intense Quote"/>
    <w:basedOn w:val="Normal"/>
    <w:next w:val="Normal"/>
    <w:link w:val="CitationintenseCar"/>
    <w:uiPriority w:val="30"/>
    <w:qFormat/>
    <w:rsid w:val="004B7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B72F0"/>
    <w:rPr>
      <w:rFonts w:ascii="Times New Roman" w:eastAsia="SimSun" w:hAnsi="Times New Roman" w:cs="Times New Roman"/>
      <w:i/>
      <w:iCs/>
      <w:color w:val="4472C4" w:themeColor="accent1"/>
      <w:kern w:val="0"/>
      <w:lang w:val="fr-CA"/>
    </w:rPr>
  </w:style>
  <w:style w:type="character" w:styleId="Rfrenceintense">
    <w:name w:val="Intense Reference"/>
    <w:basedOn w:val="Policepardfaut"/>
    <w:uiPriority w:val="32"/>
    <w:qFormat/>
    <w:rsid w:val="004B72F0"/>
    <w:rPr>
      <w:b/>
      <w:bCs/>
      <w:smallCaps/>
      <w:color w:val="4472C4" w:themeColor="accent1"/>
      <w:spacing w:val="5"/>
      <w:lang w:val="fr-CA"/>
    </w:rPr>
  </w:style>
  <w:style w:type="table" w:customStyle="1" w:styleId="Grilleclaire1">
    <w:name w:val="Grille claire1"/>
    <w:basedOn w:val="TableauNormal"/>
    <w:uiPriority w:val="62"/>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1">
    <w:name w:val="Grille claire - Accent 11"/>
    <w:basedOn w:val="TableauNormal"/>
    <w:uiPriority w:val="62"/>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eclaire1">
    <w:name w:val="Liste claire1"/>
    <w:basedOn w:val="TableauNormal"/>
    <w:uiPriority w:val="61"/>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Accent11">
    <w:name w:val="Liste claire - Accent 11"/>
    <w:basedOn w:val="TableauNormal"/>
    <w:uiPriority w:val="61"/>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Ombrageclair1">
    <w:name w:val="Ombrage clair1"/>
    <w:basedOn w:val="TableauNormal"/>
    <w:uiPriority w:val="60"/>
    <w:semiHidden/>
    <w:unhideWhenUsed/>
    <w:rsid w:val="004B72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semiHidden/>
    <w:unhideWhenUsed/>
    <w:rsid w:val="004B72F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4B72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4B72F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4B72F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4B72F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4B72F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4B72F0"/>
    <w:rPr>
      <w:lang w:val="fr-CA"/>
    </w:rPr>
  </w:style>
  <w:style w:type="paragraph" w:styleId="Liste2">
    <w:name w:val="List 2"/>
    <w:basedOn w:val="Normal"/>
    <w:uiPriority w:val="99"/>
    <w:semiHidden/>
    <w:unhideWhenUsed/>
    <w:rsid w:val="004B72F0"/>
    <w:pPr>
      <w:ind w:left="566" w:hanging="283"/>
      <w:contextualSpacing/>
    </w:pPr>
  </w:style>
  <w:style w:type="paragraph" w:styleId="Liste3">
    <w:name w:val="List 3"/>
    <w:basedOn w:val="Normal"/>
    <w:uiPriority w:val="99"/>
    <w:semiHidden/>
    <w:unhideWhenUsed/>
    <w:rsid w:val="004B72F0"/>
    <w:pPr>
      <w:ind w:left="849" w:hanging="283"/>
      <w:contextualSpacing/>
    </w:pPr>
  </w:style>
  <w:style w:type="paragraph" w:styleId="Liste4">
    <w:name w:val="List 4"/>
    <w:basedOn w:val="Normal"/>
    <w:uiPriority w:val="99"/>
    <w:semiHidden/>
    <w:unhideWhenUsed/>
    <w:rsid w:val="004B72F0"/>
    <w:pPr>
      <w:ind w:left="1132" w:hanging="283"/>
      <w:contextualSpacing/>
    </w:pPr>
  </w:style>
  <w:style w:type="paragraph" w:styleId="Liste5">
    <w:name w:val="List 5"/>
    <w:basedOn w:val="Normal"/>
    <w:uiPriority w:val="99"/>
    <w:semiHidden/>
    <w:unhideWhenUsed/>
    <w:rsid w:val="004B72F0"/>
    <w:pPr>
      <w:ind w:left="1415" w:hanging="283"/>
      <w:contextualSpacing/>
    </w:pPr>
  </w:style>
  <w:style w:type="paragraph" w:styleId="Listepuces">
    <w:name w:val="List Bullet"/>
    <w:basedOn w:val="Normal"/>
    <w:uiPriority w:val="99"/>
    <w:semiHidden/>
    <w:unhideWhenUsed/>
    <w:rsid w:val="004B72F0"/>
    <w:pPr>
      <w:numPr>
        <w:numId w:val="7"/>
      </w:numPr>
      <w:contextualSpacing/>
    </w:pPr>
  </w:style>
  <w:style w:type="paragraph" w:styleId="Listepuces2">
    <w:name w:val="List Bullet 2"/>
    <w:basedOn w:val="Normal"/>
    <w:uiPriority w:val="99"/>
    <w:semiHidden/>
    <w:unhideWhenUsed/>
    <w:rsid w:val="004B72F0"/>
    <w:pPr>
      <w:numPr>
        <w:numId w:val="8"/>
      </w:numPr>
      <w:contextualSpacing/>
    </w:pPr>
  </w:style>
  <w:style w:type="paragraph" w:styleId="Listepuces3">
    <w:name w:val="List Bullet 3"/>
    <w:basedOn w:val="Normal"/>
    <w:uiPriority w:val="99"/>
    <w:semiHidden/>
    <w:unhideWhenUsed/>
    <w:rsid w:val="004B72F0"/>
    <w:pPr>
      <w:numPr>
        <w:numId w:val="9"/>
      </w:numPr>
      <w:contextualSpacing/>
    </w:pPr>
  </w:style>
  <w:style w:type="paragraph" w:styleId="Listepuces4">
    <w:name w:val="List Bullet 4"/>
    <w:basedOn w:val="Normal"/>
    <w:uiPriority w:val="99"/>
    <w:semiHidden/>
    <w:unhideWhenUsed/>
    <w:rsid w:val="004B72F0"/>
    <w:pPr>
      <w:numPr>
        <w:numId w:val="10"/>
      </w:numPr>
      <w:contextualSpacing/>
    </w:pPr>
  </w:style>
  <w:style w:type="paragraph" w:styleId="Listepuces5">
    <w:name w:val="List Bullet 5"/>
    <w:basedOn w:val="Normal"/>
    <w:uiPriority w:val="99"/>
    <w:semiHidden/>
    <w:unhideWhenUsed/>
    <w:rsid w:val="004B72F0"/>
    <w:pPr>
      <w:numPr>
        <w:numId w:val="11"/>
      </w:numPr>
      <w:contextualSpacing/>
    </w:pPr>
  </w:style>
  <w:style w:type="paragraph" w:styleId="Listecontinue">
    <w:name w:val="List Continue"/>
    <w:basedOn w:val="Normal"/>
    <w:uiPriority w:val="99"/>
    <w:semiHidden/>
    <w:unhideWhenUsed/>
    <w:rsid w:val="004B72F0"/>
    <w:pPr>
      <w:spacing w:after="120"/>
      <w:ind w:left="283"/>
      <w:contextualSpacing/>
    </w:pPr>
  </w:style>
  <w:style w:type="paragraph" w:styleId="Listecontinue2">
    <w:name w:val="List Continue 2"/>
    <w:basedOn w:val="Normal"/>
    <w:uiPriority w:val="99"/>
    <w:semiHidden/>
    <w:unhideWhenUsed/>
    <w:rsid w:val="004B72F0"/>
    <w:pPr>
      <w:spacing w:after="120"/>
      <w:ind w:left="566"/>
      <w:contextualSpacing/>
    </w:pPr>
  </w:style>
  <w:style w:type="paragraph" w:styleId="Listecontinue3">
    <w:name w:val="List Continue 3"/>
    <w:basedOn w:val="Normal"/>
    <w:uiPriority w:val="99"/>
    <w:semiHidden/>
    <w:unhideWhenUsed/>
    <w:rsid w:val="004B72F0"/>
    <w:pPr>
      <w:spacing w:after="120"/>
      <w:ind w:left="849"/>
      <w:contextualSpacing/>
    </w:pPr>
  </w:style>
  <w:style w:type="paragraph" w:styleId="Listecontinue4">
    <w:name w:val="List Continue 4"/>
    <w:basedOn w:val="Normal"/>
    <w:uiPriority w:val="99"/>
    <w:semiHidden/>
    <w:unhideWhenUsed/>
    <w:rsid w:val="004B72F0"/>
    <w:pPr>
      <w:spacing w:after="120"/>
      <w:ind w:left="1132"/>
      <w:contextualSpacing/>
    </w:pPr>
  </w:style>
  <w:style w:type="paragraph" w:styleId="Listecontinue5">
    <w:name w:val="List Continue 5"/>
    <w:basedOn w:val="Normal"/>
    <w:uiPriority w:val="99"/>
    <w:semiHidden/>
    <w:unhideWhenUsed/>
    <w:rsid w:val="004B72F0"/>
    <w:pPr>
      <w:spacing w:after="120"/>
      <w:ind w:left="1415"/>
      <w:contextualSpacing/>
    </w:pPr>
  </w:style>
  <w:style w:type="paragraph" w:styleId="Listenumros">
    <w:name w:val="List Number"/>
    <w:basedOn w:val="Normal"/>
    <w:uiPriority w:val="99"/>
    <w:semiHidden/>
    <w:unhideWhenUsed/>
    <w:rsid w:val="004B72F0"/>
    <w:pPr>
      <w:numPr>
        <w:numId w:val="13"/>
      </w:numPr>
      <w:contextualSpacing/>
    </w:pPr>
  </w:style>
  <w:style w:type="paragraph" w:styleId="Listenumros2">
    <w:name w:val="List Number 2"/>
    <w:basedOn w:val="Normal"/>
    <w:uiPriority w:val="99"/>
    <w:semiHidden/>
    <w:unhideWhenUsed/>
    <w:rsid w:val="004B72F0"/>
    <w:pPr>
      <w:numPr>
        <w:numId w:val="14"/>
      </w:numPr>
      <w:contextualSpacing/>
    </w:pPr>
  </w:style>
  <w:style w:type="paragraph" w:styleId="Listenumros3">
    <w:name w:val="List Number 3"/>
    <w:basedOn w:val="Normal"/>
    <w:uiPriority w:val="99"/>
    <w:semiHidden/>
    <w:unhideWhenUsed/>
    <w:rsid w:val="004B72F0"/>
    <w:pPr>
      <w:numPr>
        <w:numId w:val="15"/>
      </w:numPr>
      <w:contextualSpacing/>
    </w:pPr>
  </w:style>
  <w:style w:type="paragraph" w:styleId="Listenumros4">
    <w:name w:val="List Number 4"/>
    <w:basedOn w:val="Normal"/>
    <w:uiPriority w:val="99"/>
    <w:semiHidden/>
    <w:unhideWhenUsed/>
    <w:rsid w:val="004B72F0"/>
    <w:pPr>
      <w:numPr>
        <w:numId w:val="16"/>
      </w:numPr>
      <w:contextualSpacing/>
    </w:pPr>
  </w:style>
  <w:style w:type="paragraph" w:styleId="Listenumros5">
    <w:name w:val="List Number 5"/>
    <w:basedOn w:val="Normal"/>
    <w:uiPriority w:val="99"/>
    <w:semiHidden/>
    <w:unhideWhenUsed/>
    <w:rsid w:val="004B72F0"/>
    <w:pPr>
      <w:numPr>
        <w:numId w:val="17"/>
      </w:numPr>
      <w:contextualSpacing/>
    </w:pPr>
  </w:style>
  <w:style w:type="table" w:customStyle="1" w:styleId="TableauListe1Clair1">
    <w:name w:val="Tableau Liste 1 Clair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1Clair-Accentuation21">
    <w:name w:val="Tableau Liste 1 Clair - Accentuation 2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1Clair-Accentuation31">
    <w:name w:val="Tableau Liste 1 Clair - Accentuation 3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1Clair-Accentuation41">
    <w:name w:val="Tableau Liste 1 Clair - Accentuation 4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1Clair-Accentuation51">
    <w:name w:val="Tableau Liste 1 Clair - Accentuation 5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1Clair-Accentuation61">
    <w:name w:val="Tableau Liste 1 Clair - Accentuation 61"/>
    <w:basedOn w:val="TableauNormal"/>
    <w:uiPriority w:val="46"/>
    <w:rsid w:val="004B72F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21">
    <w:name w:val="Tableau Liste 21"/>
    <w:basedOn w:val="TableauNormal"/>
    <w:uiPriority w:val="47"/>
    <w:rsid w:val="004B72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4B72F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2-Accentuation21">
    <w:name w:val="Tableau Liste 2 - Accentuation 21"/>
    <w:basedOn w:val="TableauNormal"/>
    <w:uiPriority w:val="47"/>
    <w:rsid w:val="004B7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2-Accentuation31">
    <w:name w:val="Tableau Liste 2 - Accentuation 31"/>
    <w:basedOn w:val="TableauNormal"/>
    <w:uiPriority w:val="47"/>
    <w:rsid w:val="004B72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2-Accentuation41">
    <w:name w:val="Tableau Liste 2 - Accentuation 41"/>
    <w:basedOn w:val="TableauNormal"/>
    <w:uiPriority w:val="47"/>
    <w:rsid w:val="004B7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2-Accentuation51">
    <w:name w:val="Tableau Liste 2 - Accentuation 51"/>
    <w:basedOn w:val="TableauNormal"/>
    <w:uiPriority w:val="47"/>
    <w:rsid w:val="004B72F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2-Accentuation61">
    <w:name w:val="Tableau Liste 2 - Accentuation 61"/>
    <w:basedOn w:val="TableauNormal"/>
    <w:uiPriority w:val="47"/>
    <w:rsid w:val="004B72F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31">
    <w:name w:val="Tableau Liste 31"/>
    <w:basedOn w:val="TableauNormal"/>
    <w:uiPriority w:val="48"/>
    <w:rsid w:val="004B72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4B72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auListe3-Accentuation21">
    <w:name w:val="Tableau Liste 3 - Accentuation 21"/>
    <w:basedOn w:val="TableauNormal"/>
    <w:uiPriority w:val="48"/>
    <w:rsid w:val="004B72F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auListe3-Accentuation31">
    <w:name w:val="Tableau Liste 3 - Accentuation 31"/>
    <w:basedOn w:val="TableauNormal"/>
    <w:uiPriority w:val="48"/>
    <w:rsid w:val="004B72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auListe3-Accentuation41">
    <w:name w:val="Tableau Liste 3 - Accentuation 41"/>
    <w:basedOn w:val="TableauNormal"/>
    <w:uiPriority w:val="48"/>
    <w:rsid w:val="004B72F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auListe3-Accentuation51">
    <w:name w:val="Tableau Liste 3 - Accentuation 51"/>
    <w:basedOn w:val="TableauNormal"/>
    <w:uiPriority w:val="48"/>
    <w:rsid w:val="004B72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auListe3-Accentuation61">
    <w:name w:val="Tableau Liste 3 - Accentuation 61"/>
    <w:basedOn w:val="TableauNormal"/>
    <w:uiPriority w:val="48"/>
    <w:rsid w:val="004B72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eauListe41">
    <w:name w:val="Tableau Liste 41"/>
    <w:basedOn w:val="Tableau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4-Accentuation21">
    <w:name w:val="Tableau Liste 4 - Accentuation 21"/>
    <w:basedOn w:val="Tableau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4-Accentuation31">
    <w:name w:val="Tableau Liste 4 - Accentuation 31"/>
    <w:basedOn w:val="Tableau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4-Accentuation41">
    <w:name w:val="Tableau Liste 4 - Accentuation 41"/>
    <w:basedOn w:val="Tableau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51">
    <w:name w:val="Tableau Liste 4 - Accentuation 51"/>
    <w:basedOn w:val="Tableau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4-Accentuation61">
    <w:name w:val="Tableau Liste 4 - Accentuation 61"/>
    <w:basedOn w:val="Tableau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5Fonc1">
    <w:name w:val="Tableau Liste 5 Foncé1"/>
    <w:basedOn w:val="TableauNormal"/>
    <w:uiPriority w:val="50"/>
    <w:rsid w:val="004B72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4B72F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4B72F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4B72F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4B7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4B72F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4B72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4B72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4B72F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6Couleur-Accentuation21">
    <w:name w:val="Tableau Liste 6 Couleur - Accentuation 21"/>
    <w:basedOn w:val="TableauNormal"/>
    <w:uiPriority w:val="51"/>
    <w:rsid w:val="004B72F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6Couleur-Accentuation31">
    <w:name w:val="Tableau Liste 6 Couleur - Accentuation 31"/>
    <w:basedOn w:val="TableauNormal"/>
    <w:uiPriority w:val="51"/>
    <w:rsid w:val="004B72F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Accentuation41">
    <w:name w:val="Tableau Liste 6 Couleur - Accentuation 41"/>
    <w:basedOn w:val="TableauNormal"/>
    <w:uiPriority w:val="51"/>
    <w:rsid w:val="004B72F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6Couleur-Accentuation51">
    <w:name w:val="Tableau Liste 6 Couleur - Accentuation 51"/>
    <w:basedOn w:val="TableauNormal"/>
    <w:uiPriority w:val="51"/>
    <w:rsid w:val="004B72F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6Couleur-Accentuation61">
    <w:name w:val="Tableau Liste 6 Couleur - Accentuation 61"/>
    <w:basedOn w:val="TableauNormal"/>
    <w:uiPriority w:val="51"/>
    <w:rsid w:val="004B72F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7Couleur1">
    <w:name w:val="Tableau Liste 7 Couleur1"/>
    <w:basedOn w:val="TableauNormal"/>
    <w:uiPriority w:val="52"/>
    <w:rsid w:val="004B72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4B72F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4B72F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4B72F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4B7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4B72F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4B72F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4B72F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rPr>
  </w:style>
  <w:style w:type="character" w:customStyle="1" w:styleId="TextedemacroCar">
    <w:name w:val="Texte de macro Car"/>
    <w:basedOn w:val="Policepardfaut"/>
    <w:link w:val="Textedemacro"/>
    <w:uiPriority w:val="99"/>
    <w:semiHidden/>
    <w:rsid w:val="004B72F0"/>
    <w:rPr>
      <w:rFonts w:ascii="Consolas" w:eastAsia="SimSun" w:hAnsi="Consolas" w:cs="Times New Roman"/>
      <w:kern w:val="0"/>
      <w:sz w:val="20"/>
      <w:szCs w:val="20"/>
      <w:lang w:val="fr-CA"/>
    </w:rPr>
  </w:style>
  <w:style w:type="table" w:customStyle="1" w:styleId="Grillemoyenne11">
    <w:name w:val="Grille moyenne 11"/>
    <w:basedOn w:val="TableauNormal"/>
    <w:uiPriority w:val="67"/>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moyenne21">
    <w:name w:val="Grille moyenne 21"/>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Grillemoyenne31">
    <w:name w:val="Grille moyenne 31"/>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Listemoyenne11">
    <w:name w:val="Liste moyenne 11"/>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emoyenne1-Accent11">
    <w:name w:val="Liste moyenne 1 - Accent 11"/>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4B72F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Listemoyenne21">
    <w:name w:val="Liste moyenne 21"/>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11">
    <w:name w:val="Trame moyenne 11"/>
    <w:basedOn w:val="TableauNormal"/>
    <w:uiPriority w:val="63"/>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ramemoyenne21">
    <w:name w:val="Trame moyenne 21"/>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olicepardfaut"/>
    <w:uiPriority w:val="99"/>
    <w:semiHidden/>
    <w:unhideWhenUsed/>
    <w:rsid w:val="004B72F0"/>
    <w:rPr>
      <w:color w:val="2B579A"/>
      <w:shd w:val="clear" w:color="auto" w:fill="E1DFDD"/>
      <w:lang w:val="fr-CA"/>
    </w:rPr>
  </w:style>
  <w:style w:type="paragraph" w:styleId="En-ttedemessage">
    <w:name w:val="Message Header"/>
    <w:basedOn w:val="Normal"/>
    <w:link w:val="En-ttedemessageCar"/>
    <w:uiPriority w:val="99"/>
    <w:semiHidden/>
    <w:unhideWhenUsed/>
    <w:rsid w:val="004B72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B72F0"/>
    <w:rPr>
      <w:rFonts w:asciiTheme="majorHAnsi" w:eastAsiaTheme="majorEastAsia" w:hAnsiTheme="majorHAnsi" w:cstheme="majorBidi"/>
      <w:kern w:val="0"/>
      <w:sz w:val="24"/>
      <w:szCs w:val="24"/>
      <w:shd w:val="pct20" w:color="auto" w:fill="auto"/>
      <w:lang w:val="fr-CA"/>
    </w:rPr>
  </w:style>
  <w:style w:type="paragraph" w:styleId="Sansinterligne">
    <w:name w:val="No Spacing"/>
    <w:uiPriority w:val="1"/>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rPr>
  </w:style>
  <w:style w:type="paragraph" w:styleId="NormalWeb">
    <w:name w:val="Normal (Web)"/>
    <w:basedOn w:val="Normal"/>
    <w:uiPriority w:val="99"/>
    <w:semiHidden/>
    <w:unhideWhenUsed/>
    <w:rsid w:val="004B72F0"/>
    <w:rPr>
      <w:sz w:val="24"/>
      <w:szCs w:val="24"/>
    </w:rPr>
  </w:style>
  <w:style w:type="paragraph" w:styleId="Retraitnormal">
    <w:name w:val="Normal Indent"/>
    <w:basedOn w:val="Normal"/>
    <w:uiPriority w:val="99"/>
    <w:semiHidden/>
    <w:unhideWhenUsed/>
    <w:rsid w:val="004B72F0"/>
    <w:pPr>
      <w:ind w:left="720"/>
    </w:pPr>
  </w:style>
  <w:style w:type="paragraph" w:styleId="Titredenote">
    <w:name w:val="Note Heading"/>
    <w:basedOn w:val="Normal"/>
    <w:next w:val="Normal"/>
    <w:link w:val="TitredenoteCar"/>
    <w:uiPriority w:val="99"/>
    <w:semiHidden/>
    <w:unhideWhenUsed/>
    <w:rsid w:val="004B72F0"/>
  </w:style>
  <w:style w:type="character" w:customStyle="1" w:styleId="TitredenoteCar">
    <w:name w:val="Titre de note Car"/>
    <w:basedOn w:val="Policepardfaut"/>
    <w:link w:val="Titredenote"/>
    <w:uiPriority w:val="99"/>
    <w:semiHidden/>
    <w:rsid w:val="004B72F0"/>
    <w:rPr>
      <w:rFonts w:ascii="Times New Roman" w:eastAsia="SimSun" w:hAnsi="Times New Roman" w:cs="Times New Roman"/>
      <w:kern w:val="0"/>
      <w:lang w:val="fr-CA"/>
    </w:rPr>
  </w:style>
  <w:style w:type="table" w:customStyle="1" w:styleId="Tableausimple11">
    <w:name w:val="Tableau simple 11"/>
    <w:basedOn w:val="TableauNormal"/>
    <w:uiPriority w:val="41"/>
    <w:rsid w:val="004B72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4B72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4B72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4B72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4B72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4B72F0"/>
    <w:rPr>
      <w:rFonts w:ascii="Consolas" w:hAnsi="Consolas"/>
      <w:sz w:val="21"/>
      <w:szCs w:val="21"/>
    </w:rPr>
  </w:style>
  <w:style w:type="character" w:customStyle="1" w:styleId="TextebrutCar">
    <w:name w:val="Texte brut Car"/>
    <w:basedOn w:val="Policepardfaut"/>
    <w:link w:val="Textebrut"/>
    <w:uiPriority w:val="99"/>
    <w:semiHidden/>
    <w:rsid w:val="004B72F0"/>
    <w:rPr>
      <w:rFonts w:ascii="Consolas" w:eastAsia="SimSun" w:hAnsi="Consolas" w:cs="Times New Roman"/>
      <w:kern w:val="0"/>
      <w:sz w:val="21"/>
      <w:szCs w:val="21"/>
      <w:lang w:val="fr-CA"/>
    </w:rPr>
  </w:style>
  <w:style w:type="paragraph" w:styleId="Citation">
    <w:name w:val="Quote"/>
    <w:basedOn w:val="Normal"/>
    <w:next w:val="Normal"/>
    <w:link w:val="CitationCar"/>
    <w:uiPriority w:val="29"/>
    <w:qFormat/>
    <w:rsid w:val="004B72F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B72F0"/>
    <w:rPr>
      <w:rFonts w:ascii="Times New Roman" w:eastAsia="SimSun" w:hAnsi="Times New Roman" w:cs="Times New Roman"/>
      <w:i/>
      <w:iCs/>
      <w:color w:val="404040" w:themeColor="text1" w:themeTint="BF"/>
      <w:kern w:val="0"/>
      <w:lang w:val="fr-CA"/>
    </w:rPr>
  </w:style>
  <w:style w:type="paragraph" w:styleId="Salutations">
    <w:name w:val="Salutation"/>
    <w:basedOn w:val="Normal"/>
    <w:next w:val="Normal"/>
    <w:link w:val="SalutationsCar"/>
    <w:uiPriority w:val="99"/>
    <w:semiHidden/>
    <w:unhideWhenUsed/>
    <w:rsid w:val="004B72F0"/>
  </w:style>
  <w:style w:type="character" w:customStyle="1" w:styleId="SalutationsCar">
    <w:name w:val="Salutations Car"/>
    <w:basedOn w:val="Policepardfaut"/>
    <w:link w:val="Salutations"/>
    <w:uiPriority w:val="99"/>
    <w:semiHidden/>
    <w:rsid w:val="004B72F0"/>
    <w:rPr>
      <w:rFonts w:ascii="Times New Roman" w:eastAsia="SimSun" w:hAnsi="Times New Roman" w:cs="Times New Roman"/>
      <w:kern w:val="0"/>
      <w:lang w:val="fr-CA"/>
    </w:rPr>
  </w:style>
  <w:style w:type="paragraph" w:styleId="Signature">
    <w:name w:val="Signature"/>
    <w:basedOn w:val="Normal"/>
    <w:link w:val="SignatureCar"/>
    <w:uiPriority w:val="99"/>
    <w:semiHidden/>
    <w:unhideWhenUsed/>
    <w:rsid w:val="004B72F0"/>
    <w:pPr>
      <w:ind w:left="4252"/>
    </w:pPr>
  </w:style>
  <w:style w:type="character" w:customStyle="1" w:styleId="SignatureCar">
    <w:name w:val="Signature Car"/>
    <w:basedOn w:val="Policepardfaut"/>
    <w:link w:val="Signature"/>
    <w:uiPriority w:val="99"/>
    <w:semiHidden/>
    <w:rsid w:val="004B72F0"/>
    <w:rPr>
      <w:rFonts w:ascii="Times New Roman" w:eastAsia="SimSun" w:hAnsi="Times New Roman" w:cs="Times New Roman"/>
      <w:kern w:val="0"/>
      <w:lang w:val="fr-CA"/>
    </w:rPr>
  </w:style>
  <w:style w:type="character" w:customStyle="1" w:styleId="SmartHyperlink1">
    <w:name w:val="Smart Hyperlink1"/>
    <w:basedOn w:val="Policepardfaut"/>
    <w:uiPriority w:val="99"/>
    <w:semiHidden/>
    <w:unhideWhenUsed/>
    <w:rsid w:val="004B72F0"/>
    <w:rPr>
      <w:u w:val="dotted"/>
      <w:lang w:val="fr-CA"/>
    </w:rPr>
  </w:style>
  <w:style w:type="character" w:customStyle="1" w:styleId="SmartLink1">
    <w:name w:val="SmartLink1"/>
    <w:basedOn w:val="Policepardfaut"/>
    <w:uiPriority w:val="99"/>
    <w:semiHidden/>
    <w:unhideWhenUsed/>
    <w:rsid w:val="004B72F0"/>
    <w:rPr>
      <w:color w:val="0000FF"/>
      <w:u w:val="single"/>
      <w:shd w:val="clear" w:color="auto" w:fill="F3F2F1"/>
      <w:lang w:val="fr-CA"/>
    </w:rPr>
  </w:style>
  <w:style w:type="character" w:styleId="lev">
    <w:name w:val="Strong"/>
    <w:basedOn w:val="Policepardfaut"/>
    <w:uiPriority w:val="22"/>
    <w:qFormat/>
    <w:rsid w:val="004B72F0"/>
    <w:rPr>
      <w:b/>
      <w:bCs/>
      <w:lang w:val="fr-CA"/>
    </w:rPr>
  </w:style>
  <w:style w:type="character" w:styleId="Accentuationlgre">
    <w:name w:val="Subtle Emphasis"/>
    <w:basedOn w:val="Policepardfaut"/>
    <w:uiPriority w:val="19"/>
    <w:qFormat/>
    <w:rsid w:val="004B72F0"/>
    <w:rPr>
      <w:i/>
      <w:iCs/>
      <w:color w:val="404040" w:themeColor="text1" w:themeTint="BF"/>
      <w:lang w:val="fr-CA"/>
    </w:rPr>
  </w:style>
  <w:style w:type="character" w:styleId="Rfrencelgre">
    <w:name w:val="Subtle Reference"/>
    <w:basedOn w:val="Policepardfaut"/>
    <w:uiPriority w:val="31"/>
    <w:qFormat/>
    <w:rsid w:val="004B72F0"/>
    <w:rPr>
      <w:smallCaps/>
      <w:color w:val="5A5A5A" w:themeColor="text1" w:themeTint="A5"/>
      <w:lang w:val="fr-CA"/>
    </w:rPr>
  </w:style>
  <w:style w:type="table" w:styleId="Effetsdetableau3D1">
    <w:name w:val="Table 3D effects 1"/>
    <w:basedOn w:val="TableauNormal"/>
    <w:uiPriority w:val="99"/>
    <w:semiHidden/>
    <w:unhideWhenUsed/>
    <w:rsid w:val="004B72F0"/>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B72F0"/>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B72F0"/>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B72F0"/>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B72F0"/>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B72F0"/>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4B72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B72F0"/>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4B72F0"/>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B72F0"/>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B72F0"/>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B72F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B72F0"/>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4B72F0"/>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4B72F0"/>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4B72F0"/>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4B72F0"/>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4B72F0"/>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4B72F0"/>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4B72F0"/>
    <w:pPr>
      <w:tabs>
        <w:tab w:val="clear" w:pos="567"/>
        <w:tab w:val="clear" w:pos="1134"/>
        <w:tab w:val="clear" w:pos="1701"/>
        <w:tab w:val="clear" w:pos="2268"/>
      </w:tabs>
      <w:spacing w:after="100"/>
      <w:ind w:left="1540"/>
    </w:pPr>
  </w:style>
  <w:style w:type="paragraph" w:styleId="En-ttedetabledesmatires">
    <w:name w:val="TOC Heading"/>
    <w:basedOn w:val="Titre1"/>
    <w:next w:val="Normal"/>
    <w:uiPriority w:val="39"/>
    <w:semiHidden/>
    <w:unhideWhenUsed/>
    <w:qFormat/>
    <w:rsid w:val="004B72F0"/>
    <w:pPr>
      <w:numPr>
        <w:numId w:val="0"/>
      </w:numPr>
      <w:tabs>
        <w:tab w:val="left" w:pos="567"/>
      </w:tabs>
      <w:spacing w:after="0"/>
      <w:jc w:val="both"/>
      <w:outlineLvl w:val="9"/>
    </w:pPr>
    <w:rPr>
      <w:rFonts w:asciiTheme="majorHAnsi" w:hAnsiTheme="majorHAnsi"/>
      <w:b w:val="0"/>
      <w:bCs w:val="0"/>
      <w:color w:val="2F5496" w:themeColor="accent1" w:themeShade="BF"/>
      <w:kern w:val="0"/>
      <w:sz w:val="32"/>
    </w:rPr>
  </w:style>
  <w:style w:type="numbering" w:customStyle="1" w:styleId="ListCBD1">
    <w:name w:val="ListCBD1"/>
    <w:basedOn w:val="Aucuneliste"/>
    <w:uiPriority w:val="99"/>
    <w:rsid w:val="009A506F"/>
  </w:style>
  <w:style w:type="character" w:customStyle="1" w:styleId="Mentionnonrsolue1">
    <w:name w:val="Mention non résolue1"/>
    <w:basedOn w:val="Policepardfaut"/>
    <w:uiPriority w:val="99"/>
    <w:semiHidden/>
    <w:unhideWhenUsed/>
    <w:rsid w:val="00BA18CA"/>
    <w:rPr>
      <w:color w:val="605E5C"/>
      <w:shd w:val="clear" w:color="auto" w:fill="E1DFDD"/>
    </w:rPr>
  </w:style>
  <w:style w:type="character" w:styleId="Mentionnonrsolue">
    <w:name w:val="Unresolved Mention"/>
    <w:basedOn w:val="Policepardfaut"/>
    <w:uiPriority w:val="99"/>
    <w:semiHidden/>
    <w:unhideWhenUsed/>
    <w:rsid w:val="00122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322">
      <w:bodyDiv w:val="1"/>
      <w:marLeft w:val="0"/>
      <w:marRight w:val="0"/>
      <w:marTop w:val="0"/>
      <w:marBottom w:val="0"/>
      <w:divBdr>
        <w:top w:val="none" w:sz="0" w:space="0" w:color="auto"/>
        <w:left w:val="none" w:sz="0" w:space="0" w:color="auto"/>
        <w:bottom w:val="none" w:sz="0" w:space="0" w:color="auto"/>
        <w:right w:val="none" w:sz="0" w:space="0" w:color="auto"/>
      </w:divBdr>
    </w:div>
    <w:div w:id="50547778">
      <w:bodyDiv w:val="1"/>
      <w:marLeft w:val="0"/>
      <w:marRight w:val="0"/>
      <w:marTop w:val="0"/>
      <w:marBottom w:val="0"/>
      <w:divBdr>
        <w:top w:val="none" w:sz="0" w:space="0" w:color="auto"/>
        <w:left w:val="none" w:sz="0" w:space="0" w:color="auto"/>
        <w:bottom w:val="none" w:sz="0" w:space="0" w:color="auto"/>
        <w:right w:val="none" w:sz="0" w:space="0" w:color="auto"/>
      </w:divBdr>
    </w:div>
    <w:div w:id="110977724">
      <w:bodyDiv w:val="1"/>
      <w:marLeft w:val="0"/>
      <w:marRight w:val="0"/>
      <w:marTop w:val="0"/>
      <w:marBottom w:val="0"/>
      <w:divBdr>
        <w:top w:val="none" w:sz="0" w:space="0" w:color="auto"/>
        <w:left w:val="none" w:sz="0" w:space="0" w:color="auto"/>
        <w:bottom w:val="none" w:sz="0" w:space="0" w:color="auto"/>
        <w:right w:val="none" w:sz="0" w:space="0" w:color="auto"/>
      </w:divBdr>
    </w:div>
    <w:div w:id="113912880">
      <w:bodyDiv w:val="1"/>
      <w:marLeft w:val="0"/>
      <w:marRight w:val="0"/>
      <w:marTop w:val="0"/>
      <w:marBottom w:val="0"/>
      <w:divBdr>
        <w:top w:val="none" w:sz="0" w:space="0" w:color="auto"/>
        <w:left w:val="none" w:sz="0" w:space="0" w:color="auto"/>
        <w:bottom w:val="none" w:sz="0" w:space="0" w:color="auto"/>
        <w:right w:val="none" w:sz="0" w:space="0" w:color="auto"/>
      </w:divBdr>
    </w:div>
    <w:div w:id="120002838">
      <w:bodyDiv w:val="1"/>
      <w:marLeft w:val="0"/>
      <w:marRight w:val="0"/>
      <w:marTop w:val="0"/>
      <w:marBottom w:val="0"/>
      <w:divBdr>
        <w:top w:val="none" w:sz="0" w:space="0" w:color="auto"/>
        <w:left w:val="none" w:sz="0" w:space="0" w:color="auto"/>
        <w:bottom w:val="none" w:sz="0" w:space="0" w:color="auto"/>
        <w:right w:val="none" w:sz="0" w:space="0" w:color="auto"/>
      </w:divBdr>
    </w:div>
    <w:div w:id="138812025">
      <w:bodyDiv w:val="1"/>
      <w:marLeft w:val="0"/>
      <w:marRight w:val="0"/>
      <w:marTop w:val="0"/>
      <w:marBottom w:val="0"/>
      <w:divBdr>
        <w:top w:val="none" w:sz="0" w:space="0" w:color="auto"/>
        <w:left w:val="none" w:sz="0" w:space="0" w:color="auto"/>
        <w:bottom w:val="none" w:sz="0" w:space="0" w:color="auto"/>
        <w:right w:val="none" w:sz="0" w:space="0" w:color="auto"/>
      </w:divBdr>
    </w:div>
    <w:div w:id="165947905">
      <w:bodyDiv w:val="1"/>
      <w:marLeft w:val="0"/>
      <w:marRight w:val="0"/>
      <w:marTop w:val="0"/>
      <w:marBottom w:val="0"/>
      <w:divBdr>
        <w:top w:val="none" w:sz="0" w:space="0" w:color="auto"/>
        <w:left w:val="none" w:sz="0" w:space="0" w:color="auto"/>
        <w:bottom w:val="none" w:sz="0" w:space="0" w:color="auto"/>
        <w:right w:val="none" w:sz="0" w:space="0" w:color="auto"/>
      </w:divBdr>
    </w:div>
    <w:div w:id="240911398">
      <w:bodyDiv w:val="1"/>
      <w:marLeft w:val="0"/>
      <w:marRight w:val="0"/>
      <w:marTop w:val="0"/>
      <w:marBottom w:val="0"/>
      <w:divBdr>
        <w:top w:val="none" w:sz="0" w:space="0" w:color="auto"/>
        <w:left w:val="none" w:sz="0" w:space="0" w:color="auto"/>
        <w:bottom w:val="none" w:sz="0" w:space="0" w:color="auto"/>
        <w:right w:val="none" w:sz="0" w:space="0" w:color="auto"/>
      </w:divBdr>
    </w:div>
    <w:div w:id="273904392">
      <w:bodyDiv w:val="1"/>
      <w:marLeft w:val="0"/>
      <w:marRight w:val="0"/>
      <w:marTop w:val="0"/>
      <w:marBottom w:val="0"/>
      <w:divBdr>
        <w:top w:val="none" w:sz="0" w:space="0" w:color="auto"/>
        <w:left w:val="none" w:sz="0" w:space="0" w:color="auto"/>
        <w:bottom w:val="none" w:sz="0" w:space="0" w:color="auto"/>
        <w:right w:val="none" w:sz="0" w:space="0" w:color="auto"/>
      </w:divBdr>
    </w:div>
    <w:div w:id="295260943">
      <w:bodyDiv w:val="1"/>
      <w:marLeft w:val="0"/>
      <w:marRight w:val="0"/>
      <w:marTop w:val="0"/>
      <w:marBottom w:val="0"/>
      <w:divBdr>
        <w:top w:val="none" w:sz="0" w:space="0" w:color="auto"/>
        <w:left w:val="none" w:sz="0" w:space="0" w:color="auto"/>
        <w:bottom w:val="none" w:sz="0" w:space="0" w:color="auto"/>
        <w:right w:val="none" w:sz="0" w:space="0" w:color="auto"/>
      </w:divBdr>
    </w:div>
    <w:div w:id="354385564">
      <w:bodyDiv w:val="1"/>
      <w:marLeft w:val="0"/>
      <w:marRight w:val="0"/>
      <w:marTop w:val="0"/>
      <w:marBottom w:val="0"/>
      <w:divBdr>
        <w:top w:val="none" w:sz="0" w:space="0" w:color="auto"/>
        <w:left w:val="none" w:sz="0" w:space="0" w:color="auto"/>
        <w:bottom w:val="none" w:sz="0" w:space="0" w:color="auto"/>
        <w:right w:val="none" w:sz="0" w:space="0" w:color="auto"/>
      </w:divBdr>
    </w:div>
    <w:div w:id="372270205">
      <w:bodyDiv w:val="1"/>
      <w:marLeft w:val="0"/>
      <w:marRight w:val="0"/>
      <w:marTop w:val="0"/>
      <w:marBottom w:val="0"/>
      <w:divBdr>
        <w:top w:val="none" w:sz="0" w:space="0" w:color="auto"/>
        <w:left w:val="none" w:sz="0" w:space="0" w:color="auto"/>
        <w:bottom w:val="none" w:sz="0" w:space="0" w:color="auto"/>
        <w:right w:val="none" w:sz="0" w:space="0" w:color="auto"/>
      </w:divBdr>
    </w:div>
    <w:div w:id="474878008">
      <w:bodyDiv w:val="1"/>
      <w:marLeft w:val="0"/>
      <w:marRight w:val="0"/>
      <w:marTop w:val="0"/>
      <w:marBottom w:val="0"/>
      <w:divBdr>
        <w:top w:val="none" w:sz="0" w:space="0" w:color="auto"/>
        <w:left w:val="none" w:sz="0" w:space="0" w:color="auto"/>
        <w:bottom w:val="none" w:sz="0" w:space="0" w:color="auto"/>
        <w:right w:val="none" w:sz="0" w:space="0" w:color="auto"/>
      </w:divBdr>
    </w:div>
    <w:div w:id="595358286">
      <w:bodyDiv w:val="1"/>
      <w:marLeft w:val="0"/>
      <w:marRight w:val="0"/>
      <w:marTop w:val="0"/>
      <w:marBottom w:val="0"/>
      <w:divBdr>
        <w:top w:val="none" w:sz="0" w:space="0" w:color="auto"/>
        <w:left w:val="none" w:sz="0" w:space="0" w:color="auto"/>
        <w:bottom w:val="none" w:sz="0" w:space="0" w:color="auto"/>
        <w:right w:val="none" w:sz="0" w:space="0" w:color="auto"/>
      </w:divBdr>
    </w:div>
    <w:div w:id="651982797">
      <w:bodyDiv w:val="1"/>
      <w:marLeft w:val="0"/>
      <w:marRight w:val="0"/>
      <w:marTop w:val="0"/>
      <w:marBottom w:val="0"/>
      <w:divBdr>
        <w:top w:val="none" w:sz="0" w:space="0" w:color="auto"/>
        <w:left w:val="none" w:sz="0" w:space="0" w:color="auto"/>
        <w:bottom w:val="none" w:sz="0" w:space="0" w:color="auto"/>
        <w:right w:val="none" w:sz="0" w:space="0" w:color="auto"/>
      </w:divBdr>
    </w:div>
    <w:div w:id="688993138">
      <w:bodyDiv w:val="1"/>
      <w:marLeft w:val="0"/>
      <w:marRight w:val="0"/>
      <w:marTop w:val="0"/>
      <w:marBottom w:val="0"/>
      <w:divBdr>
        <w:top w:val="none" w:sz="0" w:space="0" w:color="auto"/>
        <w:left w:val="none" w:sz="0" w:space="0" w:color="auto"/>
        <w:bottom w:val="none" w:sz="0" w:space="0" w:color="auto"/>
        <w:right w:val="none" w:sz="0" w:space="0" w:color="auto"/>
      </w:divBdr>
    </w:div>
    <w:div w:id="744258954">
      <w:bodyDiv w:val="1"/>
      <w:marLeft w:val="0"/>
      <w:marRight w:val="0"/>
      <w:marTop w:val="0"/>
      <w:marBottom w:val="0"/>
      <w:divBdr>
        <w:top w:val="none" w:sz="0" w:space="0" w:color="auto"/>
        <w:left w:val="none" w:sz="0" w:space="0" w:color="auto"/>
        <w:bottom w:val="none" w:sz="0" w:space="0" w:color="auto"/>
        <w:right w:val="none" w:sz="0" w:space="0" w:color="auto"/>
      </w:divBdr>
    </w:div>
    <w:div w:id="823204014">
      <w:bodyDiv w:val="1"/>
      <w:marLeft w:val="0"/>
      <w:marRight w:val="0"/>
      <w:marTop w:val="0"/>
      <w:marBottom w:val="0"/>
      <w:divBdr>
        <w:top w:val="none" w:sz="0" w:space="0" w:color="auto"/>
        <w:left w:val="none" w:sz="0" w:space="0" w:color="auto"/>
        <w:bottom w:val="none" w:sz="0" w:space="0" w:color="auto"/>
        <w:right w:val="none" w:sz="0" w:space="0" w:color="auto"/>
      </w:divBdr>
    </w:div>
    <w:div w:id="866482133">
      <w:bodyDiv w:val="1"/>
      <w:marLeft w:val="0"/>
      <w:marRight w:val="0"/>
      <w:marTop w:val="0"/>
      <w:marBottom w:val="0"/>
      <w:divBdr>
        <w:top w:val="none" w:sz="0" w:space="0" w:color="auto"/>
        <w:left w:val="none" w:sz="0" w:space="0" w:color="auto"/>
        <w:bottom w:val="none" w:sz="0" w:space="0" w:color="auto"/>
        <w:right w:val="none" w:sz="0" w:space="0" w:color="auto"/>
      </w:divBdr>
    </w:div>
    <w:div w:id="907303264">
      <w:bodyDiv w:val="1"/>
      <w:marLeft w:val="0"/>
      <w:marRight w:val="0"/>
      <w:marTop w:val="0"/>
      <w:marBottom w:val="0"/>
      <w:divBdr>
        <w:top w:val="none" w:sz="0" w:space="0" w:color="auto"/>
        <w:left w:val="none" w:sz="0" w:space="0" w:color="auto"/>
        <w:bottom w:val="none" w:sz="0" w:space="0" w:color="auto"/>
        <w:right w:val="none" w:sz="0" w:space="0" w:color="auto"/>
      </w:divBdr>
    </w:div>
    <w:div w:id="936249818">
      <w:bodyDiv w:val="1"/>
      <w:marLeft w:val="0"/>
      <w:marRight w:val="0"/>
      <w:marTop w:val="0"/>
      <w:marBottom w:val="0"/>
      <w:divBdr>
        <w:top w:val="none" w:sz="0" w:space="0" w:color="auto"/>
        <w:left w:val="none" w:sz="0" w:space="0" w:color="auto"/>
        <w:bottom w:val="none" w:sz="0" w:space="0" w:color="auto"/>
        <w:right w:val="none" w:sz="0" w:space="0" w:color="auto"/>
      </w:divBdr>
    </w:div>
    <w:div w:id="1023168829">
      <w:bodyDiv w:val="1"/>
      <w:marLeft w:val="0"/>
      <w:marRight w:val="0"/>
      <w:marTop w:val="0"/>
      <w:marBottom w:val="0"/>
      <w:divBdr>
        <w:top w:val="none" w:sz="0" w:space="0" w:color="auto"/>
        <w:left w:val="none" w:sz="0" w:space="0" w:color="auto"/>
        <w:bottom w:val="none" w:sz="0" w:space="0" w:color="auto"/>
        <w:right w:val="none" w:sz="0" w:space="0" w:color="auto"/>
      </w:divBdr>
    </w:div>
    <w:div w:id="1129007125">
      <w:bodyDiv w:val="1"/>
      <w:marLeft w:val="0"/>
      <w:marRight w:val="0"/>
      <w:marTop w:val="0"/>
      <w:marBottom w:val="0"/>
      <w:divBdr>
        <w:top w:val="none" w:sz="0" w:space="0" w:color="auto"/>
        <w:left w:val="none" w:sz="0" w:space="0" w:color="auto"/>
        <w:bottom w:val="none" w:sz="0" w:space="0" w:color="auto"/>
        <w:right w:val="none" w:sz="0" w:space="0" w:color="auto"/>
      </w:divBdr>
    </w:div>
    <w:div w:id="1150250824">
      <w:bodyDiv w:val="1"/>
      <w:marLeft w:val="0"/>
      <w:marRight w:val="0"/>
      <w:marTop w:val="0"/>
      <w:marBottom w:val="0"/>
      <w:divBdr>
        <w:top w:val="none" w:sz="0" w:space="0" w:color="auto"/>
        <w:left w:val="none" w:sz="0" w:space="0" w:color="auto"/>
        <w:bottom w:val="none" w:sz="0" w:space="0" w:color="auto"/>
        <w:right w:val="none" w:sz="0" w:space="0" w:color="auto"/>
      </w:divBdr>
    </w:div>
    <w:div w:id="1244608420">
      <w:bodyDiv w:val="1"/>
      <w:marLeft w:val="0"/>
      <w:marRight w:val="0"/>
      <w:marTop w:val="0"/>
      <w:marBottom w:val="0"/>
      <w:divBdr>
        <w:top w:val="none" w:sz="0" w:space="0" w:color="auto"/>
        <w:left w:val="none" w:sz="0" w:space="0" w:color="auto"/>
        <w:bottom w:val="none" w:sz="0" w:space="0" w:color="auto"/>
        <w:right w:val="none" w:sz="0" w:space="0" w:color="auto"/>
      </w:divBdr>
    </w:div>
    <w:div w:id="1306663751">
      <w:bodyDiv w:val="1"/>
      <w:marLeft w:val="0"/>
      <w:marRight w:val="0"/>
      <w:marTop w:val="0"/>
      <w:marBottom w:val="0"/>
      <w:divBdr>
        <w:top w:val="none" w:sz="0" w:space="0" w:color="auto"/>
        <w:left w:val="none" w:sz="0" w:space="0" w:color="auto"/>
        <w:bottom w:val="none" w:sz="0" w:space="0" w:color="auto"/>
        <w:right w:val="none" w:sz="0" w:space="0" w:color="auto"/>
      </w:divBdr>
    </w:div>
    <w:div w:id="1325280100">
      <w:bodyDiv w:val="1"/>
      <w:marLeft w:val="0"/>
      <w:marRight w:val="0"/>
      <w:marTop w:val="0"/>
      <w:marBottom w:val="0"/>
      <w:divBdr>
        <w:top w:val="none" w:sz="0" w:space="0" w:color="auto"/>
        <w:left w:val="none" w:sz="0" w:space="0" w:color="auto"/>
        <w:bottom w:val="none" w:sz="0" w:space="0" w:color="auto"/>
        <w:right w:val="none" w:sz="0" w:space="0" w:color="auto"/>
      </w:divBdr>
    </w:div>
    <w:div w:id="1424033599">
      <w:bodyDiv w:val="1"/>
      <w:marLeft w:val="0"/>
      <w:marRight w:val="0"/>
      <w:marTop w:val="0"/>
      <w:marBottom w:val="0"/>
      <w:divBdr>
        <w:top w:val="none" w:sz="0" w:space="0" w:color="auto"/>
        <w:left w:val="none" w:sz="0" w:space="0" w:color="auto"/>
        <w:bottom w:val="none" w:sz="0" w:space="0" w:color="auto"/>
        <w:right w:val="none" w:sz="0" w:space="0" w:color="auto"/>
      </w:divBdr>
    </w:div>
    <w:div w:id="1462114817">
      <w:bodyDiv w:val="1"/>
      <w:marLeft w:val="0"/>
      <w:marRight w:val="0"/>
      <w:marTop w:val="0"/>
      <w:marBottom w:val="0"/>
      <w:divBdr>
        <w:top w:val="none" w:sz="0" w:space="0" w:color="auto"/>
        <w:left w:val="none" w:sz="0" w:space="0" w:color="auto"/>
        <w:bottom w:val="none" w:sz="0" w:space="0" w:color="auto"/>
        <w:right w:val="none" w:sz="0" w:space="0" w:color="auto"/>
      </w:divBdr>
    </w:div>
    <w:div w:id="1510674906">
      <w:bodyDiv w:val="1"/>
      <w:marLeft w:val="0"/>
      <w:marRight w:val="0"/>
      <w:marTop w:val="0"/>
      <w:marBottom w:val="0"/>
      <w:divBdr>
        <w:top w:val="none" w:sz="0" w:space="0" w:color="auto"/>
        <w:left w:val="none" w:sz="0" w:space="0" w:color="auto"/>
        <w:bottom w:val="none" w:sz="0" w:space="0" w:color="auto"/>
        <w:right w:val="none" w:sz="0" w:space="0" w:color="auto"/>
      </w:divBdr>
    </w:div>
    <w:div w:id="1666861495">
      <w:bodyDiv w:val="1"/>
      <w:marLeft w:val="0"/>
      <w:marRight w:val="0"/>
      <w:marTop w:val="0"/>
      <w:marBottom w:val="0"/>
      <w:divBdr>
        <w:top w:val="none" w:sz="0" w:space="0" w:color="auto"/>
        <w:left w:val="none" w:sz="0" w:space="0" w:color="auto"/>
        <w:bottom w:val="none" w:sz="0" w:space="0" w:color="auto"/>
        <w:right w:val="none" w:sz="0" w:space="0" w:color="auto"/>
      </w:divBdr>
    </w:div>
    <w:div w:id="1711226871">
      <w:bodyDiv w:val="1"/>
      <w:marLeft w:val="0"/>
      <w:marRight w:val="0"/>
      <w:marTop w:val="0"/>
      <w:marBottom w:val="0"/>
      <w:divBdr>
        <w:top w:val="none" w:sz="0" w:space="0" w:color="auto"/>
        <w:left w:val="none" w:sz="0" w:space="0" w:color="auto"/>
        <w:bottom w:val="none" w:sz="0" w:space="0" w:color="auto"/>
        <w:right w:val="none" w:sz="0" w:space="0" w:color="auto"/>
      </w:divBdr>
    </w:div>
    <w:div w:id="1742295020">
      <w:bodyDiv w:val="1"/>
      <w:marLeft w:val="0"/>
      <w:marRight w:val="0"/>
      <w:marTop w:val="0"/>
      <w:marBottom w:val="0"/>
      <w:divBdr>
        <w:top w:val="none" w:sz="0" w:space="0" w:color="auto"/>
        <w:left w:val="none" w:sz="0" w:space="0" w:color="auto"/>
        <w:bottom w:val="none" w:sz="0" w:space="0" w:color="auto"/>
        <w:right w:val="none" w:sz="0" w:space="0" w:color="auto"/>
      </w:divBdr>
    </w:div>
    <w:div w:id="1789619553">
      <w:bodyDiv w:val="1"/>
      <w:marLeft w:val="0"/>
      <w:marRight w:val="0"/>
      <w:marTop w:val="0"/>
      <w:marBottom w:val="0"/>
      <w:divBdr>
        <w:top w:val="none" w:sz="0" w:space="0" w:color="auto"/>
        <w:left w:val="none" w:sz="0" w:space="0" w:color="auto"/>
        <w:bottom w:val="none" w:sz="0" w:space="0" w:color="auto"/>
        <w:right w:val="none" w:sz="0" w:space="0" w:color="auto"/>
      </w:divBdr>
    </w:div>
    <w:div w:id="1910773668">
      <w:bodyDiv w:val="1"/>
      <w:marLeft w:val="0"/>
      <w:marRight w:val="0"/>
      <w:marTop w:val="0"/>
      <w:marBottom w:val="0"/>
      <w:divBdr>
        <w:top w:val="none" w:sz="0" w:space="0" w:color="auto"/>
        <w:left w:val="none" w:sz="0" w:space="0" w:color="auto"/>
        <w:bottom w:val="none" w:sz="0" w:space="0" w:color="auto"/>
        <w:right w:val="none" w:sz="0" w:space="0" w:color="auto"/>
      </w:divBdr>
    </w:div>
    <w:div w:id="1918048571">
      <w:bodyDiv w:val="1"/>
      <w:marLeft w:val="0"/>
      <w:marRight w:val="0"/>
      <w:marTop w:val="0"/>
      <w:marBottom w:val="0"/>
      <w:divBdr>
        <w:top w:val="none" w:sz="0" w:space="0" w:color="auto"/>
        <w:left w:val="none" w:sz="0" w:space="0" w:color="auto"/>
        <w:bottom w:val="none" w:sz="0" w:space="0" w:color="auto"/>
        <w:right w:val="none" w:sz="0" w:space="0" w:color="auto"/>
      </w:divBdr>
    </w:div>
    <w:div w:id="1990164477">
      <w:bodyDiv w:val="1"/>
      <w:marLeft w:val="0"/>
      <w:marRight w:val="0"/>
      <w:marTop w:val="0"/>
      <w:marBottom w:val="0"/>
      <w:divBdr>
        <w:top w:val="none" w:sz="0" w:space="0" w:color="auto"/>
        <w:left w:val="none" w:sz="0" w:space="0" w:color="auto"/>
        <w:bottom w:val="none" w:sz="0" w:space="0" w:color="auto"/>
        <w:right w:val="none" w:sz="0" w:space="0" w:color="auto"/>
      </w:divBdr>
    </w:div>
    <w:div w:id="1991321076">
      <w:bodyDiv w:val="1"/>
      <w:marLeft w:val="0"/>
      <w:marRight w:val="0"/>
      <w:marTop w:val="0"/>
      <w:marBottom w:val="0"/>
      <w:divBdr>
        <w:top w:val="none" w:sz="0" w:space="0" w:color="auto"/>
        <w:left w:val="none" w:sz="0" w:space="0" w:color="auto"/>
        <w:bottom w:val="none" w:sz="0" w:space="0" w:color="auto"/>
        <w:right w:val="none" w:sz="0" w:space="0" w:color="auto"/>
      </w:divBdr>
    </w:div>
    <w:div w:id="2055082050">
      <w:bodyDiv w:val="1"/>
      <w:marLeft w:val="0"/>
      <w:marRight w:val="0"/>
      <w:marTop w:val="0"/>
      <w:marBottom w:val="0"/>
      <w:divBdr>
        <w:top w:val="none" w:sz="0" w:space="0" w:color="auto"/>
        <w:left w:val="none" w:sz="0" w:space="0" w:color="auto"/>
        <w:bottom w:val="none" w:sz="0" w:space="0" w:color="auto"/>
        <w:right w:val="none" w:sz="0" w:space="0" w:color="auto"/>
      </w:divBdr>
    </w:div>
    <w:div w:id="2092045104">
      <w:bodyDiv w:val="1"/>
      <w:marLeft w:val="0"/>
      <w:marRight w:val="0"/>
      <w:marTop w:val="0"/>
      <w:marBottom w:val="0"/>
      <w:divBdr>
        <w:top w:val="none" w:sz="0" w:space="0" w:color="auto"/>
        <w:left w:val="none" w:sz="0" w:space="0" w:color="auto"/>
        <w:bottom w:val="none" w:sz="0" w:space="0" w:color="auto"/>
        <w:right w:val="none" w:sz="0" w:space="0" w:color="auto"/>
      </w:divBdr>
    </w:div>
    <w:div w:id="2104840988">
      <w:bodyDiv w:val="1"/>
      <w:marLeft w:val="0"/>
      <w:marRight w:val="0"/>
      <w:marTop w:val="0"/>
      <w:marBottom w:val="0"/>
      <w:divBdr>
        <w:top w:val="none" w:sz="0" w:space="0" w:color="auto"/>
        <w:left w:val="none" w:sz="0" w:space="0" w:color="auto"/>
        <w:bottom w:val="none" w:sz="0" w:space="0" w:color="auto"/>
        <w:right w:val="none" w:sz="0" w:space="0" w:color="auto"/>
      </w:divBdr>
    </w:div>
    <w:div w:id="2122141956">
      <w:bodyDiv w:val="1"/>
      <w:marLeft w:val="0"/>
      <w:marRight w:val="0"/>
      <w:marTop w:val="0"/>
      <w:marBottom w:val="0"/>
      <w:divBdr>
        <w:top w:val="none" w:sz="0" w:space="0" w:color="auto"/>
        <w:left w:val="none" w:sz="0" w:space="0" w:color="auto"/>
        <w:bottom w:val="none" w:sz="0" w:space="0" w:color="auto"/>
        <w:right w:val="none" w:sz="0" w:space="0" w:color="auto"/>
      </w:divBdr>
    </w:div>
    <w:div w:id="21413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6/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convention/articles/default.shtml?a=cbd-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recommendations/sbi/?m=sbi-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uments/CBD/COP/16/6/ADD1" TargetMode="External"/><Relationship Id="rId20" Type="http://schemas.openxmlformats.org/officeDocument/2006/relationships/hyperlink" Target="https://www.cbd.int/doc/decisions/cop-14/cop-14-dec-15-f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bd.int/convention/articles/default.shtml?a=cbd-21" TargetMode="External"/><Relationship Id="rId23" Type="http://schemas.openxmlformats.org/officeDocument/2006/relationships/hyperlink" Target="https://www.cbd.int/convention/articles/default.shtml?a=cbd-3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12/cop-12-dec-30-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20" TargetMode="External"/><Relationship Id="rId22" Type="http://schemas.openxmlformats.org/officeDocument/2006/relationships/hyperlink" Target="https://www.cbd.int/convention/articles/default.shtml?a=cbd-21"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mop/?m=cp-mop-10" TargetMode="External"/><Relationship Id="rId13" Type="http://schemas.openxmlformats.org/officeDocument/2006/relationships/hyperlink" Target="https://www.cbd.int/decisions/cop/?m=cop-15" TargetMode="External"/><Relationship Id="rId18" Type="http://schemas.openxmlformats.org/officeDocument/2006/relationships/hyperlink" Target="https://www.cbd.int/decisions/cop/?m=cop-15" TargetMode="External"/><Relationship Id="rId26" Type="http://schemas.openxmlformats.org/officeDocument/2006/relationships/hyperlink" Target="https://www.cbd.int/decisions/np-mop/?m=np-mop-05" TargetMode="External"/><Relationship Id="rId3" Type="http://schemas.openxmlformats.org/officeDocument/2006/relationships/hyperlink" Target="https://www.cbd.int/decisions/cop/?m=cop-15" TargetMode="External"/><Relationship Id="rId21" Type="http://schemas.openxmlformats.org/officeDocument/2006/relationships/hyperlink" Target="https://www.cbd.int/decisions/mop/?m=cp-mop-10" TargetMode="External"/><Relationship Id="rId7" Type="http://schemas.openxmlformats.org/officeDocument/2006/relationships/hyperlink" Target="https://www.cbd.int/decisions/mop/?m=cp-mop-10" TargetMode="External"/><Relationship Id="rId12" Type="http://schemas.openxmlformats.org/officeDocument/2006/relationships/hyperlink" Target="https://www.cbd.int/decisions/cop/?m=cop-15" TargetMode="External"/><Relationship Id="rId17" Type="http://schemas.openxmlformats.org/officeDocument/2006/relationships/hyperlink" Target="https://www.cbd.int/decisions/cop/?m=cop-16" TargetMode="External"/><Relationship Id="rId25" Type="http://schemas.openxmlformats.org/officeDocument/2006/relationships/hyperlink" Target="https://www.cbd.int/decisions/mop/?m=cp-mop-10" TargetMode="External"/><Relationship Id="rId2" Type="http://schemas.openxmlformats.org/officeDocument/2006/relationships/hyperlink" Target="https://www.cbd.int/decisions/cop?m=cop-15" TargetMode="External"/><Relationship Id="rId16" Type="http://schemas.openxmlformats.org/officeDocument/2006/relationships/hyperlink" Target="https://www.cbd.int/decisions/cop/?m=cop-15" TargetMode="External"/><Relationship Id="rId20" Type="http://schemas.openxmlformats.org/officeDocument/2006/relationships/hyperlink" Target="https://www.cbd.int/decisions/mop/?m=cp-mop-10" TargetMode="External"/><Relationship Id="rId29" Type="http://schemas.openxmlformats.org/officeDocument/2006/relationships/hyperlink" Target="https://www.cbd.int/decisions/np-mop?m=np-mop-05" TargetMode="External"/><Relationship Id="rId1" Type="http://schemas.openxmlformats.org/officeDocument/2006/relationships/hyperlink" Target="https://www.cbd.int/decision/cop/default.shtml?id=7104" TargetMode="External"/><Relationship Id="rId6" Type="http://schemas.openxmlformats.org/officeDocument/2006/relationships/hyperlink" Target="https://www.cbd.int/documents/CBD/COP/16/INF/25" TargetMode="External"/><Relationship Id="rId11" Type="http://schemas.openxmlformats.org/officeDocument/2006/relationships/hyperlink" Target="https://www.cbd.int/decision/cop/default.shtml?id=7104" TargetMode="External"/><Relationship Id="rId24" Type="http://schemas.openxmlformats.org/officeDocument/2006/relationships/hyperlink" Target="https://www.cbd.int/decisions/mop/?m=cp-mop-10" TargetMode="External"/><Relationship Id="rId5" Type="http://schemas.openxmlformats.org/officeDocument/2006/relationships/hyperlink" Target="https://www.cbd.int/meetings/COP-16?doc=66f204fbc9746e849ffba2bf" TargetMode="External"/><Relationship Id="rId15" Type="http://schemas.openxmlformats.org/officeDocument/2006/relationships/hyperlink" Target="https://www.cbd.int/decisions/cop/?m=cop-15"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ecisions/cop/?m=cop-15" TargetMode="External"/><Relationship Id="rId4" Type="http://schemas.openxmlformats.org/officeDocument/2006/relationships/hyperlink" Target="https://www.cbd.int/documents/CBD/COP/16/8/REV1"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ecisions/cop/?m=cop-16" TargetMode="External"/><Relationship Id="rId22" Type="http://schemas.openxmlformats.org/officeDocument/2006/relationships/hyperlink" Target="https://www.cbd.int/decisions/np-mop/?m=np-mop-05" TargetMode="External"/><Relationship Id="rId27" Type="http://schemas.openxmlformats.org/officeDocument/2006/relationships/hyperlink" Target="https://www.cbd.int/decisions/cop/?m=cop-16" TargetMode="External"/><Relationship Id="rId30" Type="http://schemas.openxmlformats.org/officeDocument/2006/relationships/hyperlink" Target="https://www.cbd.int/decisions/np-mop?m=np-mop-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4C5BD542-38AA-4C38-8A88-B17E57835DF8}">
  <ds:schemaRefs>
    <ds:schemaRef ds:uri="http://schemas.openxmlformats.org/officeDocument/2006/bibliography"/>
  </ds:schemaRefs>
</ds:datastoreItem>
</file>

<file path=customXml/itemProps4.xml><?xml version="1.0" encoding="utf-8"?>
<ds:datastoreItem xmlns:ds="http://schemas.openxmlformats.org/officeDocument/2006/customXml" ds:itemID="{334E80EC-AF51-49AF-857D-A068CA2A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C:\Users\veronique.lefebvre\United Nations\MEA-CBD-Editing Team - Documents\Meeting documents\SBSTTA\SBSTTA-25\Status&amp;Templates\sbstta-template.dotm</Template>
  <TotalTime>158</TotalTime>
  <Pages>17</Pages>
  <Words>8812</Words>
  <Characters>47587</Characters>
  <Application>Microsoft Office Word</Application>
  <DocSecurity>0</DocSecurity>
  <Lines>732</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Mécanisme de financement</vt:lpstr>
      <vt:lpstr>Mécanisme de financement</vt:lpstr>
    </vt:vector>
  </TitlesOfParts>
  <Company/>
  <LinksUpToDate>false</LinksUpToDate>
  <CharactersWithSpaces>56093</CharactersWithSpaces>
  <SharedDoc>false</SharedDoc>
  <HLinks>
    <vt:vector size="60" baseType="variant">
      <vt:variant>
        <vt:i4>7340145</vt:i4>
      </vt:variant>
      <vt:variant>
        <vt:i4>27</vt:i4>
      </vt:variant>
      <vt:variant>
        <vt:i4>0</vt:i4>
      </vt:variant>
      <vt:variant>
        <vt:i4>5</vt:i4>
      </vt:variant>
      <vt:variant>
        <vt:lpwstr>https://www.cbd.int/decisions/mop/?m=cp-mop-10</vt:lpwstr>
      </vt:variant>
      <vt:variant>
        <vt:lpwstr/>
      </vt:variant>
      <vt:variant>
        <vt:i4>7733296</vt:i4>
      </vt:variant>
      <vt:variant>
        <vt:i4>24</vt:i4>
      </vt:variant>
      <vt:variant>
        <vt:i4>0</vt:i4>
      </vt:variant>
      <vt:variant>
        <vt:i4>5</vt:i4>
      </vt:variant>
      <vt:variant>
        <vt:lpwstr>https://www.cbd.int/doc/decisions/cp-mop-10/cp-mop-10-dec-12-en.pdf</vt:lpwstr>
      </vt:variant>
      <vt:variant>
        <vt:lpwstr/>
      </vt:variant>
      <vt:variant>
        <vt:i4>7667760</vt:i4>
      </vt:variant>
      <vt:variant>
        <vt:i4>21</vt:i4>
      </vt:variant>
      <vt:variant>
        <vt:i4>0</vt:i4>
      </vt:variant>
      <vt:variant>
        <vt:i4>5</vt:i4>
      </vt:variant>
      <vt:variant>
        <vt:lpwstr>https://www.cbd.int/doc/decisions/cp-mop-10/cp-mop-10-dec-11-en.pdf</vt:lpwstr>
      </vt:variant>
      <vt:variant>
        <vt:lpwstr/>
      </vt:variant>
      <vt:variant>
        <vt:i4>7602224</vt:i4>
      </vt:variant>
      <vt:variant>
        <vt:i4>18</vt:i4>
      </vt:variant>
      <vt:variant>
        <vt:i4>0</vt:i4>
      </vt:variant>
      <vt:variant>
        <vt:i4>5</vt:i4>
      </vt:variant>
      <vt:variant>
        <vt:lpwstr>https://www.cbd.int/doc/decisions/cp-mop-10/cp-mop-10-dec-10-en.pdf</vt:lpwstr>
      </vt:variant>
      <vt:variant>
        <vt:lpwstr/>
      </vt:variant>
      <vt:variant>
        <vt:i4>8126513</vt:i4>
      </vt:variant>
      <vt:variant>
        <vt:i4>15</vt:i4>
      </vt:variant>
      <vt:variant>
        <vt:i4>0</vt:i4>
      </vt:variant>
      <vt:variant>
        <vt:i4>5</vt:i4>
      </vt:variant>
      <vt:variant>
        <vt:lpwstr>https://www.cbd.int/doc/decisions/cp-mop-10/cp-mop-10-dec-08-en.pdf</vt:lpwstr>
      </vt:variant>
      <vt:variant>
        <vt:lpwstr/>
      </vt:variant>
      <vt:variant>
        <vt:i4>7405617</vt:i4>
      </vt:variant>
      <vt:variant>
        <vt:i4>12</vt:i4>
      </vt:variant>
      <vt:variant>
        <vt:i4>0</vt:i4>
      </vt:variant>
      <vt:variant>
        <vt:i4>5</vt:i4>
      </vt:variant>
      <vt:variant>
        <vt:lpwstr>https://www.cbd.int/doc/decisions/cp-mop-10/cp-mop-10-dec-05-en.pdf</vt:lpwstr>
      </vt:variant>
      <vt:variant>
        <vt:lpwstr/>
      </vt:variant>
      <vt:variant>
        <vt:i4>7471153</vt:i4>
      </vt:variant>
      <vt:variant>
        <vt:i4>9</vt:i4>
      </vt:variant>
      <vt:variant>
        <vt:i4>0</vt:i4>
      </vt:variant>
      <vt:variant>
        <vt:i4>5</vt:i4>
      </vt:variant>
      <vt:variant>
        <vt:lpwstr>https://www.cbd.int/doc/decisions/cp-mop-10/cp-mop-10-dec-06-en.pdf</vt:lpwstr>
      </vt:variant>
      <vt:variant>
        <vt:lpwstr/>
      </vt:variant>
      <vt:variant>
        <vt:i4>7733296</vt:i4>
      </vt:variant>
      <vt:variant>
        <vt:i4>6</vt:i4>
      </vt:variant>
      <vt:variant>
        <vt:i4>0</vt:i4>
      </vt:variant>
      <vt:variant>
        <vt:i4>5</vt:i4>
      </vt:variant>
      <vt:variant>
        <vt:lpwstr>https://www.cbd.int/doc/decisions/np-mop-01/np-mop-01-dec-12-en.pdf</vt:lpwstr>
      </vt:variant>
      <vt:variant>
        <vt:lpwstr/>
      </vt:variant>
      <vt:variant>
        <vt:i4>917582</vt:i4>
      </vt:variant>
      <vt:variant>
        <vt:i4>3</vt:i4>
      </vt:variant>
      <vt:variant>
        <vt:i4>0</vt:i4>
      </vt:variant>
      <vt:variant>
        <vt:i4>5</vt:i4>
      </vt:variant>
      <vt:variant>
        <vt:lpwstr>https://www.cbd.int/doc/decisions/cop-12/cop-12-dec-27-en.pdf</vt:lpwstr>
      </vt:variant>
      <vt:variant>
        <vt:lpwstr/>
      </vt:variant>
      <vt:variant>
        <vt:i4>655430</vt:i4>
      </vt:variant>
      <vt:variant>
        <vt:i4>0</vt:i4>
      </vt:variant>
      <vt:variant>
        <vt:i4>0</vt:i4>
      </vt:variant>
      <vt:variant>
        <vt:i4>5</vt:i4>
      </vt:variant>
      <vt:variant>
        <vt:lpwstr>https://www.cbd.int/doc/decisions/mop-07/mop-07-dec-09-en.pdf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Mécanisme de financement</dc:title>
  <dc:subject>CBD/COP/16/WG.I/CRP.14</dc:subject>
  <dc:creator>Secretariat of the Convention on Biological Diversity</dc:creator>
  <cp:keywords>Conference of the Parties serving as the meeting of the Parties to the Cartagena Protocol on Biosafety</cp:keywords>
  <cp:lastModifiedBy>Reviewer</cp:lastModifiedBy>
  <cp:revision>11</cp:revision>
  <cp:lastPrinted>2024-10-31T17:34:00Z</cp:lastPrinted>
  <dcterms:created xsi:type="dcterms:W3CDTF">2025-03-23T08:29:00Z</dcterms:created>
  <dcterms:modified xsi:type="dcterms:W3CDTF">2025-03-26T11:03:00Z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