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21757B" w:rsidRPr="000E19B1" w14:paraId="18B25E92" w14:textId="77777777" w:rsidTr="00DC005D">
        <w:trPr>
          <w:trHeight w:val="850"/>
        </w:trPr>
        <w:tc>
          <w:tcPr>
            <w:tcW w:w="975" w:type="dxa"/>
            <w:shd w:val="clear" w:color="auto" w:fill="auto"/>
            <w:vAlign w:val="bottom"/>
          </w:tcPr>
          <w:p w14:paraId="2607A333" w14:textId="77777777" w:rsidR="0021757B" w:rsidRPr="000E19B1" w:rsidRDefault="0021757B" w:rsidP="00DC005D">
            <w:pPr>
              <w:pStyle w:val="AASmallLogo"/>
            </w:pPr>
            <w:bookmarkStart w:id="0" w:name="_Hlk137651738"/>
            <w:r w:rsidRPr="000E19B1">
              <w:rPr>
                <w:noProof/>
              </w:rPr>
              <w:drawing>
                <wp:inline distT="0" distB="0" distL="0" distR="0" wp14:anchorId="6FD79FB5" wp14:editId="17B3DA06">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0E19B1">
              <w:t xml:space="preserve"> </w:t>
            </w:r>
          </w:p>
          <w:p w14:paraId="0E0CAA6E" w14:textId="77777777" w:rsidR="0021757B" w:rsidRPr="000E19B1" w:rsidRDefault="0021757B" w:rsidP="00DC005D">
            <w:pPr>
              <w:pStyle w:val="AASmallLogo"/>
            </w:pPr>
          </w:p>
        </w:tc>
        <w:tc>
          <w:tcPr>
            <w:tcW w:w="1434" w:type="dxa"/>
            <w:shd w:val="clear" w:color="auto" w:fill="auto"/>
            <w:noWrap/>
            <w:vAlign w:val="bottom"/>
          </w:tcPr>
          <w:p w14:paraId="16F2FBB4" w14:textId="77777777" w:rsidR="0021757B" w:rsidRPr="000E19B1" w:rsidRDefault="0021757B" w:rsidP="00DC005D">
            <w:pPr>
              <w:pStyle w:val="AASmallLogo"/>
            </w:pPr>
            <w:r w:rsidRPr="000E19B1">
              <w:rPr>
                <w:noProof/>
              </w:rPr>
              <w:drawing>
                <wp:inline distT="0" distB="0" distL="0" distR="0" wp14:anchorId="0C6A2112" wp14:editId="28295F9B">
                  <wp:extent cx="498788" cy="285021"/>
                  <wp:effectExtent l="0" t="0" r="0" b="127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rsidRPr="000E19B1">
              <w:t xml:space="preserve"> </w:t>
            </w:r>
          </w:p>
          <w:p w14:paraId="02AEF5A5" w14:textId="77777777" w:rsidR="0021757B" w:rsidRPr="000E19B1" w:rsidRDefault="0021757B" w:rsidP="00DC005D">
            <w:pPr>
              <w:pStyle w:val="AASmallLogo"/>
            </w:pPr>
          </w:p>
        </w:tc>
        <w:tc>
          <w:tcPr>
            <w:tcW w:w="8073" w:type="dxa"/>
            <w:shd w:val="clear" w:color="auto" w:fill="auto"/>
            <w:vAlign w:val="bottom"/>
          </w:tcPr>
          <w:p w14:paraId="0D1278D6" w14:textId="4511A72D" w:rsidR="0021757B" w:rsidRPr="000E19B1" w:rsidRDefault="0021757B" w:rsidP="00DC005D">
            <w:pPr>
              <w:pStyle w:val="ABSymbol"/>
              <w:rPr>
                <w:sz w:val="22"/>
                <w:szCs w:val="22"/>
              </w:rPr>
            </w:pPr>
            <w:r w:rsidRPr="000E19B1">
              <w:rPr>
                <w:sz w:val="22"/>
              </w:rPr>
              <w:fldChar w:fldCharType="begin"/>
            </w:r>
            <w:r w:rsidRPr="000E19B1">
              <w:rPr>
                <w:sz w:val="22"/>
              </w:rPr>
              <w:instrText xml:space="preserve"> DOCPROPERTY Subject \* MERGEFORMAT </w:instrText>
            </w:r>
            <w:r w:rsidRPr="000E19B1">
              <w:rPr>
                <w:sz w:val="22"/>
              </w:rPr>
              <w:fldChar w:fldCharType="separate"/>
            </w:r>
            <w:r w:rsidR="00720F38" w:rsidRPr="000E19B1">
              <w:rPr>
                <w:sz w:val="40"/>
              </w:rPr>
              <w:t>CBD</w:t>
            </w:r>
            <w:r w:rsidR="00720F38" w:rsidRPr="000E19B1">
              <w:rPr>
                <w:sz w:val="22"/>
              </w:rPr>
              <w:t>/COP/DEC/16/11</w:t>
            </w:r>
            <w:r w:rsidRPr="000E19B1">
              <w:rPr>
                <w:sz w:val="22"/>
              </w:rPr>
              <w:fldChar w:fldCharType="end"/>
            </w:r>
          </w:p>
        </w:tc>
      </w:tr>
    </w:tbl>
    <w:p w14:paraId="0DE2D3AF" w14:textId="77777777" w:rsidR="0021757B" w:rsidRPr="000E19B1" w:rsidRDefault="0021757B" w:rsidP="0021757B">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21757B" w:rsidRPr="000E19B1" w14:paraId="325B631E" w14:textId="77777777" w:rsidTr="00DC005D">
        <w:trPr>
          <w:trHeight w:val="1814"/>
        </w:trPr>
        <w:tc>
          <w:tcPr>
            <w:tcW w:w="7370" w:type="dxa"/>
            <w:shd w:val="clear" w:color="auto" w:fill="auto"/>
          </w:tcPr>
          <w:p w14:paraId="51DFA432" w14:textId="77777777" w:rsidR="0021757B" w:rsidRPr="000E19B1" w:rsidRDefault="0021757B" w:rsidP="00DC005D">
            <w:pPr>
              <w:pStyle w:val="ACLargeLogo"/>
            </w:pPr>
            <w:r w:rsidRPr="000E19B1">
              <w:rPr>
                <w:noProof/>
              </w:rPr>
              <w:drawing>
                <wp:inline distT="0" distB="0" distL="0" distR="0" wp14:anchorId="72D072BB" wp14:editId="05D8AA7E">
                  <wp:extent cx="2755631" cy="1013099"/>
                  <wp:effectExtent l="0" t="0" r="6985"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rsidRPr="000E19B1">
              <w:t xml:space="preserve"> </w:t>
            </w:r>
          </w:p>
          <w:p w14:paraId="0BAAFC87" w14:textId="77777777" w:rsidR="0021757B" w:rsidRPr="000E19B1" w:rsidRDefault="0021757B" w:rsidP="00DC005D">
            <w:pPr>
              <w:pStyle w:val="ACLargeLogo"/>
            </w:pPr>
          </w:p>
        </w:tc>
        <w:tc>
          <w:tcPr>
            <w:tcW w:w="3112" w:type="dxa"/>
            <w:shd w:val="clear" w:color="auto" w:fill="auto"/>
          </w:tcPr>
          <w:p w14:paraId="39A6877B" w14:textId="77777777" w:rsidR="0021757B" w:rsidRPr="000E19B1" w:rsidRDefault="0021757B" w:rsidP="00DC005D">
            <w:pPr>
              <w:pStyle w:val="AEDistrNormal"/>
            </w:pPr>
            <w:r w:rsidRPr="000E19B1">
              <w:t xml:space="preserve">Distr. </w:t>
            </w:r>
            <w:sdt>
              <w:sdtPr>
                <w:alias w:val="DistributionType"/>
                <w:id w:val="-943536495"/>
                <w:placeholder>
                  <w:docPart w:val="AE64DF302F9A49BB8F5EF1FF87767ACC"/>
                </w:placeholder>
                <w15:color w:val="800000"/>
              </w:sdtPr>
              <w:sdtContent>
                <w:r w:rsidRPr="000E19B1">
                  <w:t>general</w:t>
                </w:r>
              </w:sdtContent>
            </w:sdt>
            <w:r w:rsidRPr="000E19B1">
              <w:t xml:space="preserve"> </w:t>
            </w:r>
          </w:p>
          <w:p w14:paraId="442BD249" w14:textId="77777777" w:rsidR="00720F38" w:rsidRPr="000E19B1" w:rsidRDefault="00000000" w:rsidP="00720F38">
            <w:pPr>
              <w:pStyle w:val="AEDistrNormal"/>
            </w:pPr>
            <w:sdt>
              <w:sdtPr>
                <w:alias w:val="DistributionDate"/>
                <w:id w:val="1090040067"/>
                <w:placeholder>
                  <w:docPart w:val="FC8EE888608343F291C6652C662C6392"/>
                </w:placeholder>
                <w15:color w:val="800000"/>
              </w:sdtPr>
              <w:sdtContent>
                <w:r w:rsidRPr="000E19B1">
                  <w:t>1 de noviembre de 2024</w:t>
                </w:r>
              </w:sdtContent>
            </w:sdt>
            <w:r w:rsidRPr="000E19B1">
              <w:t xml:space="preserve"> </w:t>
            </w:r>
          </w:p>
          <w:p w14:paraId="09CF7F63" w14:textId="0F5ED55C" w:rsidR="0021757B" w:rsidRPr="000E19B1" w:rsidRDefault="00000000" w:rsidP="00720F38">
            <w:pPr>
              <w:pStyle w:val="AEDistrNormal"/>
            </w:pPr>
            <w:sdt>
              <w:sdtPr>
                <w:alias w:val="DistributionLanguage"/>
                <w:id w:val="-1478219683"/>
                <w:placeholder>
                  <w:docPart w:val="5AA19B650CC542E4BA36549C0E061153"/>
                </w:placeholder>
                <w15:color w:val="800000"/>
              </w:sdtPr>
              <w:sdtContent>
                <w:r w:rsidRPr="000E19B1">
                  <w:t>Español</w:t>
                </w:r>
                <w:r w:rsidRPr="000E19B1">
                  <w:br/>
                  <w:t>Original: inglés</w:t>
                </w:r>
              </w:sdtContent>
            </w:sdt>
            <w:r w:rsidRPr="000E19B1">
              <w:t xml:space="preserve"> </w:t>
            </w:r>
          </w:p>
          <w:p w14:paraId="7856BB46" w14:textId="77777777" w:rsidR="0021757B" w:rsidRPr="000E19B1" w:rsidRDefault="0021757B" w:rsidP="00DC005D">
            <w:pPr>
              <w:pStyle w:val="AEDistrNormal6pt"/>
            </w:pPr>
          </w:p>
        </w:tc>
      </w:tr>
    </w:tbl>
    <w:p w14:paraId="76F644F2" w14:textId="77777777" w:rsidR="0021757B" w:rsidRPr="000E19B1" w:rsidRDefault="0021757B" w:rsidP="0021757B">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21757B" w:rsidRPr="000E19B1" w14:paraId="1A3B4BCC" w14:textId="77777777" w:rsidTr="00DC005D">
        <w:trPr>
          <w:trHeight w:val="57"/>
        </w:trPr>
        <w:tc>
          <w:tcPr>
            <w:tcW w:w="6094" w:type="dxa"/>
            <w:shd w:val="clear" w:color="auto" w:fill="auto"/>
          </w:tcPr>
          <w:p w14:paraId="60BFE9F4" w14:textId="26943BEA" w:rsidR="0021757B" w:rsidRPr="000E19B1" w:rsidRDefault="00000000" w:rsidP="00DC005D">
            <w:pPr>
              <w:pStyle w:val="AFCorN12Bold"/>
            </w:pPr>
            <w:sdt>
              <w:sdtPr>
                <w:rPr>
                  <w:bCs/>
                </w:rPr>
                <w:alias w:val="CorNot1Text"/>
                <w:id w:val="1971018176"/>
                <w:placeholder>
                  <w:docPart w:val="70D2BC74A51341259F14E71903C56BFB"/>
                </w:placeholder>
                <w15:color w:val="800000"/>
                <w:text w:multiLine="1"/>
              </w:sdtPr>
              <w:sdtContent>
                <w:r w:rsidRPr="000E19B1">
                  <w:t xml:space="preserve">Conferencia de las Partes en el </w:t>
                </w:r>
                <w:r w:rsidRPr="000E19B1">
                  <w:br/>
                  <w:t>Convenio sobre la Diversidad Biológica</w:t>
                </w:r>
              </w:sdtContent>
            </w:sdt>
          </w:p>
          <w:p w14:paraId="3D7F212A" w14:textId="77777777" w:rsidR="0021757B" w:rsidRPr="000E19B1" w:rsidRDefault="00000000" w:rsidP="00DC005D">
            <w:pPr>
              <w:pStyle w:val="AFCorNBold"/>
            </w:pPr>
            <w:sdt>
              <w:sdtPr>
                <w:alias w:val="CorNot1TextPart2"/>
                <w:id w:val="-1728751740"/>
                <w:placeholder>
                  <w:docPart w:val="26F59BD29C6946628375F12066BEFD07"/>
                </w:placeholder>
                <w15:color w:val="800000"/>
                <w:text w:multiLine="1"/>
              </w:sdtPr>
              <w:sdtContent>
                <w:r w:rsidRPr="000E19B1">
                  <w:t>16ª reunión</w:t>
                </w:r>
              </w:sdtContent>
            </w:sdt>
            <w:r w:rsidRPr="000E19B1">
              <w:t xml:space="preserve"> </w:t>
            </w:r>
          </w:p>
          <w:p w14:paraId="512814D5" w14:textId="109A93F9" w:rsidR="0021757B" w:rsidRPr="000E19B1" w:rsidRDefault="00000000" w:rsidP="00DC005D">
            <w:pPr>
              <w:pStyle w:val="AFCorNBold"/>
              <w:rPr>
                <w:b w:val="0"/>
                <w:bCs/>
              </w:rPr>
            </w:pPr>
            <w:sdt>
              <w:sdtPr>
                <w:alias w:val="CorNot1VenueDate"/>
                <w:id w:val="152953731"/>
                <w:placeholder>
                  <w:docPart w:val="F127FEB1C822420FA8A137FF5AB679E5"/>
                </w:placeholder>
                <w15:color w:val="800000"/>
              </w:sdtPr>
              <w:sdtEndPr>
                <w:rPr>
                  <w:b w:val="0"/>
                  <w:bCs/>
                </w:rPr>
              </w:sdtEndPr>
              <w:sdtContent>
                <w:r w:rsidRPr="000E19B1">
                  <w:rPr>
                    <w:b w:val="0"/>
                  </w:rPr>
                  <w:t>Cali (Colombia), 21 de octubre a 1</w:t>
                </w:r>
                <w:r w:rsidR="006C2428">
                  <w:rPr>
                    <w:b w:val="0"/>
                  </w:rPr>
                  <w:t> </w:t>
                </w:r>
                <w:r w:rsidRPr="000E19B1">
                  <w:rPr>
                    <w:b w:val="0"/>
                  </w:rPr>
                  <w:t>de noviembre de 2024</w:t>
                </w:r>
              </w:sdtContent>
            </w:sdt>
          </w:p>
          <w:p w14:paraId="09B421A6" w14:textId="541AEFD8" w:rsidR="0021757B" w:rsidRPr="000E19B1" w:rsidRDefault="00000000" w:rsidP="00DC005D">
            <w:pPr>
              <w:pStyle w:val="AFCorNNormal"/>
            </w:pPr>
            <w:sdt>
              <w:sdtPr>
                <w:alias w:val="CorNot1AgItem"/>
                <w:id w:val="287018184"/>
                <w:placeholder>
                  <w:docPart w:val="5B1361C23E8A4306A32BEFFD10E3B6BC"/>
                </w:placeholder>
                <w15:color w:val="800000"/>
                <w:text/>
              </w:sdtPr>
              <w:sdtContent>
                <w:r w:rsidRPr="000E19B1">
                  <w:t>Tema 16 del programa</w:t>
                </w:r>
              </w:sdtContent>
            </w:sdt>
          </w:p>
          <w:p w14:paraId="5E7B90DB" w14:textId="0611AD58" w:rsidR="0021757B" w:rsidRPr="000E19B1" w:rsidRDefault="0008223A" w:rsidP="00B0161E">
            <w:pPr>
              <w:pStyle w:val="AFCorNBold"/>
            </w:pPr>
            <w:r w:rsidRPr="000E19B1">
              <w:t xml:space="preserve">Necesidades científicas y técnicas para apoyar la implementación del Marco Mundial de Biodiversidad </w:t>
            </w:r>
            <w:r w:rsidR="00720F38" w:rsidRPr="000E19B1">
              <w:br/>
            </w:r>
            <w:r w:rsidRPr="000E19B1">
              <w:t>de Kunming-Montreal, incluidas las repercusiones en los programas de trabajo del Convenio</w:t>
            </w:r>
          </w:p>
        </w:tc>
        <w:tc>
          <w:tcPr>
            <w:tcW w:w="4388" w:type="dxa"/>
            <w:shd w:val="clear" w:color="auto" w:fill="auto"/>
          </w:tcPr>
          <w:p w14:paraId="4570FA33" w14:textId="77777777" w:rsidR="0021757B" w:rsidRPr="000E19B1" w:rsidRDefault="0021757B" w:rsidP="00DC005D">
            <w:pPr>
              <w:pStyle w:val="CBDNormal"/>
              <w:jc w:val="left"/>
            </w:pPr>
          </w:p>
        </w:tc>
      </w:tr>
    </w:tbl>
    <w:bookmarkEnd w:id="0"/>
    <w:p w14:paraId="3F49212B" w14:textId="57265DE3" w:rsidR="00A96B21" w:rsidRPr="000E19B1" w:rsidRDefault="00517F6B" w:rsidP="001454DA">
      <w:pPr>
        <w:pStyle w:val="CBDTitle"/>
      </w:pPr>
      <w:r w:rsidRPr="000E19B1">
        <w:t>Decisión adoptada por la Conferencia de las Partes en el Convenio sobre la Diversidad Biológica el 1 de noviembre de 2024</w:t>
      </w:r>
    </w:p>
    <w:p w14:paraId="738A3667" w14:textId="04779124" w:rsidR="00A96B21" w:rsidRPr="000E19B1" w:rsidRDefault="00517F6B" w:rsidP="00DD37E5">
      <w:pPr>
        <w:pStyle w:val="CBDSubTitle"/>
      </w:pPr>
      <w:r w:rsidRPr="000E19B1">
        <w:t>16/11.</w:t>
      </w:r>
      <w:r w:rsidRPr="000E19B1">
        <w:tab/>
      </w:r>
      <w:r w:rsidRPr="000E19B1">
        <w:tab/>
        <w:t>Cuestiones relacionadas con el programa de trabajo de la Plataforma Intergubernamental Científico-Normativa sobre Diversidad Biológica y Servicios de los Ecosistemas</w:t>
      </w:r>
    </w:p>
    <w:p w14:paraId="6319C789" w14:textId="77777777" w:rsidR="00B9563E" w:rsidRPr="000E19B1" w:rsidRDefault="00B9563E" w:rsidP="00B9563E">
      <w:pPr>
        <w:tabs>
          <w:tab w:val="clear" w:pos="1134"/>
          <w:tab w:val="left" w:pos="360"/>
          <w:tab w:val="left" w:pos="1481"/>
        </w:tabs>
        <w:snapToGrid w:val="0"/>
        <w:spacing w:before="120" w:after="120"/>
        <w:ind w:left="567" w:firstLine="567"/>
        <w:rPr>
          <w:i/>
          <w:iCs/>
        </w:rPr>
      </w:pPr>
      <w:r w:rsidRPr="000E19B1">
        <w:rPr>
          <w:i/>
        </w:rPr>
        <w:t>La Conferencia de las Partes</w:t>
      </w:r>
      <w:r w:rsidRPr="000E19B1">
        <w:t>,</w:t>
      </w:r>
    </w:p>
    <w:p w14:paraId="6F08BCA4" w14:textId="66ED39CF" w:rsidR="00B9563E" w:rsidRPr="000E19B1" w:rsidRDefault="00B9563E" w:rsidP="00AD22E3">
      <w:pPr>
        <w:pStyle w:val="CBDDesicionText"/>
      </w:pPr>
      <w:r w:rsidRPr="000E19B1">
        <w:rPr>
          <w:i/>
        </w:rPr>
        <w:t xml:space="preserve">Recordando </w:t>
      </w:r>
      <w:r w:rsidRPr="000E19B1">
        <w:t xml:space="preserve">las decisiones </w:t>
      </w:r>
      <w:hyperlink r:id="rId14" w:history="1">
        <w:r w:rsidRPr="000E19B1">
          <w:rPr>
            <w:rStyle w:val="Hipervnculo"/>
          </w:rPr>
          <w:t>XI/13 C</w:t>
        </w:r>
      </w:hyperlink>
      <w:r w:rsidRPr="000E19B1">
        <w:t xml:space="preserve">, de 19 de octubre de 2012, </w:t>
      </w:r>
      <w:hyperlink r:id="rId15" w:history="1">
        <w:r w:rsidRPr="000E19B1">
          <w:rPr>
            <w:rStyle w:val="Hipervnculo"/>
          </w:rPr>
          <w:t>XII/25</w:t>
        </w:r>
      </w:hyperlink>
      <w:r w:rsidRPr="000E19B1">
        <w:t xml:space="preserve">, de 17 de octubre de 2014, </w:t>
      </w:r>
      <w:hyperlink r:id="rId16" w:history="1">
        <w:r w:rsidRPr="000E19B1">
          <w:rPr>
            <w:rStyle w:val="Hipervnculo"/>
          </w:rPr>
          <w:t>14/36</w:t>
        </w:r>
      </w:hyperlink>
      <w:r w:rsidRPr="000E19B1">
        <w:t xml:space="preserve">, de 29 de noviembre de 2018, y </w:t>
      </w:r>
      <w:hyperlink r:id="rId17" w:history="1">
        <w:r w:rsidRPr="000E19B1">
          <w:rPr>
            <w:rStyle w:val="Hipervnculo"/>
          </w:rPr>
          <w:t>15/19</w:t>
        </w:r>
      </w:hyperlink>
      <w:r w:rsidRPr="000E19B1">
        <w:t>, de 19 de diciembre de 2022,</w:t>
      </w:r>
    </w:p>
    <w:p w14:paraId="3D39D2AB" w14:textId="792121C6" w:rsidR="00B9563E" w:rsidRPr="000E19B1" w:rsidRDefault="00B9563E" w:rsidP="00AD22E3">
      <w:pPr>
        <w:pStyle w:val="CBDDesicionText"/>
      </w:pPr>
      <w:r w:rsidRPr="000E19B1">
        <w:rPr>
          <w:i/>
        </w:rPr>
        <w:t xml:space="preserve">Recordando también </w:t>
      </w:r>
      <w:r w:rsidRPr="000E19B1">
        <w:t xml:space="preserve">que, en el párrafo 5 e) de la decisión </w:t>
      </w:r>
      <w:hyperlink r:id="rId18" w:history="1">
        <w:r w:rsidRPr="000E19B1">
          <w:rPr>
            <w:color w:val="0563C1" w:themeColor="hyperlink"/>
            <w:u w:val="single"/>
          </w:rPr>
          <w:t>XII/25</w:t>
        </w:r>
      </w:hyperlink>
      <w:r w:rsidRPr="000E19B1">
        <w:t>, la Conferencia de las Partes pidió al Secretario Ejecutivo del Convenio sobre la Diversidad Biológica</w:t>
      </w:r>
      <w:r w:rsidR="00B04A4E" w:rsidRPr="000E19B1">
        <w:rPr>
          <w:rFonts w:eastAsiaTheme="majorEastAsia"/>
          <w:vertAlign w:val="superscript"/>
        </w:rPr>
        <w:footnoteReference w:id="2"/>
      </w:r>
      <w:r w:rsidRPr="000E19B1">
        <w:t xml:space="preserve"> que llevara a la atención del Órgano Subsidiario de Asesoramiento Científico, Técnico y Tecnológico los productos de la Plataforma Intergubernamental Científico-Normativa sobre Diversidad Biológica y Servicios de los Ecosistemas, para que el Órgano Subsidiario considerara la pertinencia de los resultados de esos productos para la labor del Convenio y, según procediera, formulase recomendaciones a la Conferencia de las Partes,</w:t>
      </w:r>
    </w:p>
    <w:p w14:paraId="6E53C3F5" w14:textId="411C20A0" w:rsidR="00B9563E" w:rsidRPr="000E19B1" w:rsidRDefault="00B9563E" w:rsidP="00AD22E3">
      <w:pPr>
        <w:pStyle w:val="CBDDesicionText"/>
      </w:pPr>
      <w:r w:rsidRPr="000E19B1">
        <w:rPr>
          <w:i/>
        </w:rPr>
        <w:t>Acogiendo con satisfacción</w:t>
      </w:r>
      <w:r w:rsidRPr="000E19B1">
        <w:t xml:space="preserve"> la decisión adoptada por el Plenario de la Plataforma Intergubernamental Científico-Normativa sobre Diversidad Biológica y Servicios de los Ecosistemas, en su décimo período de sesiones, de realizar una evaluación metodológica rápida de la vigilancia de la diversidad biológica y las contribuciones de la naturaleza a las personas, en su 11º período de sesiones, una evaluación metodológica rápida de la planificación territorial y la conectividad ecológica integradas que tengan en cuenta la diversidad biológica, en su 14º período de sesiones, y un proceso de análisis inicial de una segunda evaluación mundial de la diversidad biológica y los servicios de los ecosistemas, en su 11º período de sesiones</w:t>
      </w:r>
      <w:r w:rsidRPr="000E19B1">
        <w:rPr>
          <w:rFonts w:eastAsiaTheme="majorEastAsia"/>
          <w:vertAlign w:val="superscript"/>
        </w:rPr>
        <w:footnoteReference w:id="3"/>
      </w:r>
      <w:r w:rsidRPr="000E19B1">
        <w:t>, con miras a producir la segunda evaluación mundial en su 15º período de sesiones, como parte del programa de trabajo renovable de la Plataforma hasta 2030,</w:t>
      </w:r>
    </w:p>
    <w:p w14:paraId="1E91860B" w14:textId="77777777" w:rsidR="00B9563E" w:rsidRPr="000E19B1" w:rsidRDefault="00B9563E" w:rsidP="00AD22E3">
      <w:pPr>
        <w:pStyle w:val="CBDDesicionText"/>
      </w:pPr>
      <w:r w:rsidRPr="000E19B1">
        <w:rPr>
          <w:i/>
        </w:rPr>
        <w:lastRenderedPageBreak/>
        <w:t xml:space="preserve">Observando </w:t>
      </w:r>
      <w:r w:rsidRPr="000E19B1">
        <w:t>la estrecha colaboración continua entre las secretarías del Convenio y de la Plataforma Intergubernamental Científico-Normativa sobre Diversidad Biológica y Servicios de los Ecosistemas,</w:t>
      </w:r>
    </w:p>
    <w:p w14:paraId="4FD0072C" w14:textId="7D243E69" w:rsidR="00B9563E" w:rsidRPr="000E19B1" w:rsidRDefault="00B9563E" w:rsidP="00AD22E3">
      <w:pPr>
        <w:pStyle w:val="CBDDesicionText"/>
        <w:rPr>
          <w:rFonts w:eastAsia="MS Mincho"/>
          <w:kern w:val="22"/>
        </w:rPr>
      </w:pPr>
      <w:r w:rsidRPr="000E19B1">
        <w:t>1.</w:t>
      </w:r>
      <w:r w:rsidRPr="000E19B1">
        <w:rPr>
          <w:i/>
        </w:rPr>
        <w:tab/>
        <w:t xml:space="preserve">Toma nota </w:t>
      </w:r>
      <w:r w:rsidRPr="000E19B1">
        <w:t xml:space="preserve">de la información que figura en el panorama general de las evaluaciones anteriores y futuras y, según proceda, otros productos previstos de la Plataforma Intergubernamental Científico-Normativa sobre Diversidad Biológica y Servicios de los Ecosistemas, incluido el calendario para la consideración de los productos previstos por parte del Órgano Subsidiario de Asesoramiento Científico, Técnico y Tecnológico, que figura en el anexo del documento </w:t>
      </w:r>
      <w:hyperlink r:id="rId19" w:history="1">
        <w:r w:rsidRPr="000E19B1">
          <w:rPr>
            <w:rStyle w:val="Hipervnculo"/>
          </w:rPr>
          <w:t>CBD/SBSTTA/26/3/Add.1</w:t>
        </w:r>
      </w:hyperlink>
      <w:r w:rsidRPr="000E19B1">
        <w:t>;</w:t>
      </w:r>
    </w:p>
    <w:p w14:paraId="7AAFFF25" w14:textId="77777777" w:rsidR="00B9563E" w:rsidRPr="000E19B1" w:rsidRDefault="00B9563E" w:rsidP="00AD22E3">
      <w:pPr>
        <w:pStyle w:val="CBDDesicionText"/>
      </w:pPr>
      <w:r w:rsidRPr="000E19B1">
        <w:t>2.</w:t>
      </w:r>
      <w:r w:rsidRPr="000E19B1">
        <w:tab/>
      </w:r>
      <w:r w:rsidRPr="000E19B1">
        <w:rPr>
          <w:i/>
        </w:rPr>
        <w:t xml:space="preserve">Pide </w:t>
      </w:r>
      <w:r w:rsidRPr="000E19B1">
        <w:t>al Órgano Subsidiario de Asesoramiento Científico, Técnico y Tecnológico que examine los productos de la Plataforma Intergubernamental Científico-Normativa sobre Diversidad Biológica y Servicios de los Ecosistemas, con arreglo al calendario que figura en el anexo de la presente decisión;</w:t>
      </w:r>
    </w:p>
    <w:p w14:paraId="4CDC1851" w14:textId="297D8673" w:rsidR="00B9563E" w:rsidRPr="000E19B1" w:rsidRDefault="00B9563E" w:rsidP="00AD22E3">
      <w:pPr>
        <w:pStyle w:val="CBDDesicionText"/>
      </w:pPr>
      <w:r w:rsidRPr="000E19B1">
        <w:t>3.</w:t>
      </w:r>
      <w:r w:rsidRPr="000E19B1">
        <w:tab/>
      </w:r>
      <w:r w:rsidRPr="000E19B1">
        <w:rPr>
          <w:i/>
        </w:rPr>
        <w:t xml:space="preserve">Invita </w:t>
      </w:r>
      <w:r w:rsidRPr="000E19B1">
        <w:t>a la Plataforma Intergubernamental Científico-Normativa sobre Diversidad Biológica y Servicios de los Ecosistemas a considerar la siguiente solicitud, entre otras, y sin ningún orden en particular, en relación con posibles evaluaciones adicionales en el programa de trabajo renovable de la Plataforma:</w:t>
      </w:r>
    </w:p>
    <w:p w14:paraId="10314503" w14:textId="48419E87" w:rsidR="00B9563E" w:rsidRPr="000E19B1" w:rsidRDefault="00B9563E" w:rsidP="00B9563E">
      <w:pPr>
        <w:shd w:val="clear" w:color="auto" w:fill="FFFFFF" w:themeFill="background1"/>
        <w:tabs>
          <w:tab w:val="clear" w:pos="1134"/>
        </w:tabs>
        <w:snapToGrid w:val="0"/>
        <w:spacing w:before="120" w:after="120"/>
        <w:ind w:left="567" w:firstLine="567"/>
      </w:pPr>
      <w:r w:rsidRPr="000E19B1">
        <w:t>a)</w:t>
      </w:r>
      <w:r w:rsidRPr="000E19B1">
        <w:tab/>
        <w:t>Una evaluación de la contaminación y la diversidad biológica;</w:t>
      </w:r>
    </w:p>
    <w:p w14:paraId="4D313B3D" w14:textId="07BA611D" w:rsidR="00B9563E" w:rsidRPr="000E19B1" w:rsidRDefault="00B9563E" w:rsidP="00B9563E">
      <w:pPr>
        <w:shd w:val="clear" w:color="auto" w:fill="FFFFFF" w:themeFill="background1"/>
        <w:tabs>
          <w:tab w:val="clear" w:pos="1134"/>
        </w:tabs>
        <w:snapToGrid w:val="0"/>
        <w:spacing w:before="120" w:after="120"/>
        <w:ind w:left="567" w:firstLine="567"/>
      </w:pPr>
      <w:r w:rsidRPr="000E19B1">
        <w:t>b)</w:t>
      </w:r>
      <w:r w:rsidRPr="000E19B1">
        <w:tab/>
        <w:t>Una evaluación de las ciudades y la diversidad biológica;</w:t>
      </w:r>
    </w:p>
    <w:p w14:paraId="74BA6102" w14:textId="0433575E" w:rsidR="00B9563E" w:rsidRPr="000E19B1" w:rsidRDefault="00B9563E" w:rsidP="00B9563E">
      <w:pPr>
        <w:shd w:val="clear" w:color="auto" w:fill="FFFFFF" w:themeFill="background1"/>
        <w:tabs>
          <w:tab w:val="clear" w:pos="1134"/>
        </w:tabs>
        <w:snapToGrid w:val="0"/>
        <w:spacing w:before="120" w:after="120"/>
        <w:ind w:left="567" w:firstLine="567"/>
      </w:pPr>
      <w:r w:rsidRPr="000E19B1">
        <w:t>c)</w:t>
      </w:r>
      <w:r w:rsidRPr="000E19B1">
        <w:tab/>
        <w:t>Una evaluación de la diversidad biológica y la pobreza;</w:t>
      </w:r>
    </w:p>
    <w:p w14:paraId="2D287F5E" w14:textId="3846A98D" w:rsidR="00B9563E" w:rsidRPr="000E19B1" w:rsidRDefault="00B9563E" w:rsidP="00B9563E">
      <w:pPr>
        <w:shd w:val="clear" w:color="auto" w:fill="FFFFFF" w:themeFill="background1"/>
        <w:tabs>
          <w:tab w:val="clear" w:pos="1134"/>
        </w:tabs>
        <w:snapToGrid w:val="0"/>
        <w:spacing w:before="120" w:after="120"/>
        <w:ind w:left="567" w:firstLine="567"/>
      </w:pPr>
      <w:r w:rsidRPr="000E19B1">
        <w:t>d)</w:t>
      </w:r>
      <w:r w:rsidRPr="000E19B1">
        <w:tab/>
        <w:t>Una evaluación de la diversidad biológica y el cambio climático;</w:t>
      </w:r>
    </w:p>
    <w:p w14:paraId="0A4CFBE7" w14:textId="5B8C8B01" w:rsidR="00B9563E" w:rsidRPr="000E19B1" w:rsidRDefault="003F5BD2" w:rsidP="00AD22E3">
      <w:pPr>
        <w:pStyle w:val="CBDDesicionText"/>
      </w:pPr>
      <w:r w:rsidRPr="000E19B1">
        <w:t>4.</w:t>
      </w:r>
      <w:r w:rsidRPr="000E19B1">
        <w:tab/>
      </w:r>
      <w:r w:rsidRPr="000E19B1">
        <w:rPr>
          <w:i/>
        </w:rPr>
        <w:t>Invita también</w:t>
      </w:r>
      <w:r w:rsidRPr="000E19B1">
        <w:t xml:space="preserve"> a la Plataforma Intergubernamental Científico-Normativa sobre Diversidad Biológica y Servicios de los Ecosistemas a explorar maneras de sensibilizar sobre cuestiones relacionadas con el enfoque basado en los derechos humanos y a incluirlas en su labor, según proceda;</w:t>
      </w:r>
    </w:p>
    <w:p w14:paraId="46688471" w14:textId="39BD96A8" w:rsidR="00B9563E" w:rsidRPr="000E19B1" w:rsidRDefault="003F5BD2" w:rsidP="00AD22E3">
      <w:pPr>
        <w:pStyle w:val="CBDDesicionText"/>
      </w:pPr>
      <w:r w:rsidRPr="000E19B1">
        <w:t>5.</w:t>
      </w:r>
      <w:r w:rsidRPr="000E19B1">
        <w:rPr>
          <w:i/>
        </w:rPr>
        <w:tab/>
        <w:t xml:space="preserve">Alienta </w:t>
      </w:r>
      <w:r w:rsidRPr="000E19B1">
        <w:t>a las Partes a hacer uso, según proceda, de las evaluaciones y los productos previstos de la Plataforma Intergubernamental Científico-Normativa sobre Diversidad Biológica y Servicios de los Ecosistemas para apoyar la implementación del Marco Mundial de Biodiversidad de Kunming-Montreal</w:t>
      </w:r>
      <w:r w:rsidR="00B548EE" w:rsidRPr="000E19B1">
        <w:rPr>
          <w:rStyle w:val="Refdenotaalpie"/>
        </w:rPr>
        <w:footnoteReference w:id="4"/>
      </w:r>
      <w:r w:rsidRPr="000E19B1">
        <w:t>, a participar en los procesos de revisión para la elaboración de las evaluaciones y los productos previstos, cuando sea pertinente, y a intensificar la comunicación, el intercambio de información y la coordinación entre los puntos focales de la Plataforma y del Convenio a nivel nacional;</w:t>
      </w:r>
    </w:p>
    <w:p w14:paraId="32ADAD61" w14:textId="39497716" w:rsidR="00B9563E" w:rsidRPr="000E19B1" w:rsidRDefault="003F5BD2" w:rsidP="00AD22E3">
      <w:pPr>
        <w:pStyle w:val="CBDDesicionText"/>
      </w:pPr>
      <w:r w:rsidRPr="000E19B1">
        <w:t>6.</w:t>
      </w:r>
      <w:r w:rsidRPr="000E19B1">
        <w:rPr>
          <w:i/>
        </w:rPr>
        <w:tab/>
        <w:t>Pide</w:t>
      </w:r>
      <w:r w:rsidRPr="000E19B1">
        <w:t xml:space="preserve"> a la Secretaria Ejecutiva que:</w:t>
      </w:r>
    </w:p>
    <w:p w14:paraId="4BE14345" w14:textId="77777777" w:rsidR="00B9563E" w:rsidRPr="000E19B1" w:rsidRDefault="00B9563E" w:rsidP="00B9563E">
      <w:pPr>
        <w:tabs>
          <w:tab w:val="clear" w:pos="1134"/>
        </w:tabs>
        <w:snapToGrid w:val="0"/>
        <w:spacing w:after="120"/>
        <w:ind w:left="567" w:firstLine="567"/>
        <w:rPr>
          <w:rFonts w:eastAsia="MS Mincho"/>
          <w:kern w:val="22"/>
        </w:rPr>
      </w:pPr>
      <w:r w:rsidRPr="000E19B1">
        <w:t>a)</w:t>
      </w:r>
      <w:r w:rsidRPr="000E19B1">
        <w:tab/>
        <w:t>Facilite la participación de la Secretaria Ejecutiva de la Plataforma Intergubernamental Científico-Normativa sobre Diversidad Biológica y Servicios de los Ecosistemas en las reuniones del Grupo de Enlace de los Convenios Relacionados con la Diversidad Biológica, cuando sea pertinente;</w:t>
      </w:r>
    </w:p>
    <w:p w14:paraId="1BC9CD3F" w14:textId="52AA48FC" w:rsidR="000A3ACD" w:rsidRPr="000E19B1" w:rsidRDefault="00B9563E" w:rsidP="00AD22E3">
      <w:pPr>
        <w:pStyle w:val="CBDDesicionText"/>
      </w:pPr>
      <w:r w:rsidRPr="000E19B1">
        <w:t>b)</w:t>
      </w:r>
      <w:r w:rsidRPr="000E19B1">
        <w:tab/>
        <w:t>Actualice el panorama general de productos previstos anteriores y futuros de la Plataforma Intergubernamental Científico-Normativa sobre Diversidad Biológica y Servicios de los Ecosistemas y su pertinencia para la toma de decisiones en el contexto del Convenio, que figura en el anexo de la presente decisión, lo publique en el sitio web de la Secretaría del Convenio y proporcione información actualizada sobre las actividades conjuntas entre la Secretaría y la Plataforma en una reunión del Órgano Subsidiario sobre Asesoramiento Científico, Técnico y Tecnológico en cada período entre reuniones;</w:t>
      </w:r>
    </w:p>
    <w:p w14:paraId="445B3215" w14:textId="526A487B" w:rsidR="00B9563E" w:rsidRPr="000E19B1" w:rsidRDefault="00B9563E" w:rsidP="00AD22E3">
      <w:pPr>
        <w:pStyle w:val="CBDDesicionText"/>
      </w:pPr>
      <w:r w:rsidRPr="000E19B1">
        <w:t>c)</w:t>
      </w:r>
      <w:r w:rsidRPr="000E19B1">
        <w:tab/>
        <w:t>Mantenga su estrecha cooperación con la Plataforma Intergubernamental Científico-Normativa sobre Diversidad Biológica y Servicios de los Ecosistemas y coordine con la Secretaría de la Plataforma, con miras a analizar y determinar otras formas en las que la Plataforma puede contribuir a la implementación del Marco y a su revisión mundial de los progresos colectivos, entre otras cosas mediante la detección de oportunidades para hacer uso de los productos previstos para cada una de las cuatro funciones de la Plataforma, según proceda.</w:t>
      </w:r>
    </w:p>
    <w:p w14:paraId="671B898E" w14:textId="22722376" w:rsidR="00B9563E" w:rsidRPr="000E19B1" w:rsidRDefault="00B9563E" w:rsidP="00AD22E3">
      <w:pPr>
        <w:pStyle w:val="CBDDesicionAnnex"/>
        <w:rPr>
          <w:rFonts w:hint="eastAsia"/>
        </w:rPr>
      </w:pPr>
      <w:r w:rsidRPr="000E19B1">
        <w:lastRenderedPageBreak/>
        <w:t xml:space="preserve">Anexo </w:t>
      </w:r>
      <w:bookmarkStart w:id="1" w:name="_Hlk161737352"/>
      <w:r w:rsidRPr="000E19B1">
        <w:br/>
        <w:t>Calendario de evaluaciones de la Plataforma Intergubernamental Científico-Normativa sobre Diversidad Biológica y Servicios de los Ecosistemas y de su consideración en el contexto del Convenio sobre la Diversidad Biológica (2024-2030)</w:t>
      </w:r>
    </w:p>
    <w:tbl>
      <w:tblPr>
        <w:tblStyle w:val="TableGrid2"/>
        <w:tblW w:w="4978" w:type="pct"/>
        <w:jc w:val="right"/>
        <w:tblLayout w:type="fixed"/>
        <w:tblLook w:val="04A0" w:firstRow="1" w:lastRow="0" w:firstColumn="1" w:lastColumn="0" w:noHBand="0" w:noVBand="1"/>
      </w:tblPr>
      <w:tblGrid>
        <w:gridCol w:w="2835"/>
        <w:gridCol w:w="3541"/>
        <w:gridCol w:w="3542"/>
      </w:tblGrid>
      <w:tr w:rsidR="00077A1D" w:rsidRPr="000E19B1" w14:paraId="26CFFCDB" w14:textId="77777777" w:rsidTr="00D12624">
        <w:trPr>
          <w:trHeight w:val="57"/>
          <w:tblHeader/>
          <w:jc w:val="right"/>
        </w:trPr>
        <w:tc>
          <w:tcPr>
            <w:tcW w:w="2835" w:type="dxa"/>
            <w:shd w:val="clear" w:color="auto" w:fill="FFFFFF" w:themeFill="background1"/>
          </w:tcPr>
          <w:bookmarkEnd w:id="1"/>
          <w:p w14:paraId="2678E9CC" w14:textId="6A4D63C4"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i/>
                <w:iCs/>
                <w:snapToGrid w:val="0"/>
                <w:kern w:val="22"/>
                <w:sz w:val="20"/>
                <w:szCs w:val="20"/>
              </w:rPr>
            </w:pPr>
            <w:r w:rsidRPr="000E19B1">
              <w:rPr>
                <w:rFonts w:asciiTheme="majorBidi" w:hAnsiTheme="majorBidi"/>
                <w:i/>
                <w:snapToGrid w:val="0"/>
                <w:sz w:val="20"/>
              </w:rPr>
              <w:t>Número de período de sesiones y fecha de consideración por el Plenario de la Plataforma Intergubernamental Científico-Normativa sobre Diversidad Biológica y Servicios de los Ecosistemas</w:t>
            </w:r>
            <w:r w:rsidRPr="000E19B1">
              <w:rPr>
                <w:rFonts w:asciiTheme="majorBidi" w:hAnsiTheme="majorBidi"/>
                <w:i/>
                <w:snapToGrid w:val="0"/>
                <w:sz w:val="20"/>
                <w:vertAlign w:val="superscript"/>
              </w:rPr>
              <w:t>a</w:t>
            </w:r>
          </w:p>
        </w:tc>
        <w:tc>
          <w:tcPr>
            <w:tcW w:w="3541" w:type="dxa"/>
            <w:shd w:val="clear" w:color="auto" w:fill="FFFFFF" w:themeFill="background1"/>
          </w:tcPr>
          <w:p w14:paraId="07AE0F74"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i/>
                <w:iCs/>
                <w:snapToGrid w:val="0"/>
                <w:kern w:val="22"/>
                <w:sz w:val="20"/>
                <w:szCs w:val="20"/>
              </w:rPr>
            </w:pPr>
            <w:r w:rsidRPr="000E19B1">
              <w:rPr>
                <w:rFonts w:asciiTheme="majorBidi" w:hAnsiTheme="majorBidi"/>
                <w:i/>
                <w:snapToGrid w:val="0"/>
                <w:sz w:val="20"/>
              </w:rPr>
              <w:t xml:space="preserve">Evaluación </w:t>
            </w:r>
          </w:p>
        </w:tc>
        <w:tc>
          <w:tcPr>
            <w:tcW w:w="3542" w:type="dxa"/>
            <w:shd w:val="clear" w:color="auto" w:fill="FFFFFF" w:themeFill="background1"/>
          </w:tcPr>
          <w:p w14:paraId="3B938E89" w14:textId="581375D0"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i/>
                <w:iCs/>
                <w:snapToGrid w:val="0"/>
                <w:kern w:val="22"/>
                <w:sz w:val="20"/>
                <w:szCs w:val="20"/>
              </w:rPr>
            </w:pPr>
            <w:r w:rsidRPr="000E19B1">
              <w:rPr>
                <w:rFonts w:asciiTheme="majorBidi" w:hAnsiTheme="majorBidi"/>
                <w:i/>
                <w:snapToGrid w:val="0"/>
                <w:sz w:val="20"/>
              </w:rPr>
              <w:t>Fecha de consideración por el Órgano Subsidiario de Asesoramiento Científico, Técnico y Tecnológico y por la Conferencia de las Partes en el Convenio sobre la Diversidad Biológica</w:t>
            </w:r>
          </w:p>
        </w:tc>
      </w:tr>
      <w:tr w:rsidR="00077A1D" w:rsidRPr="000E19B1" w14:paraId="2E381CE3" w14:textId="77777777" w:rsidTr="00D12624">
        <w:trPr>
          <w:trHeight w:val="57"/>
          <w:jc w:val="right"/>
        </w:trPr>
        <w:tc>
          <w:tcPr>
            <w:tcW w:w="2835" w:type="dxa"/>
            <w:vMerge w:val="restart"/>
          </w:tcPr>
          <w:p w14:paraId="1424244B"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11º período de sesiones (2024)</w:t>
            </w:r>
          </w:p>
        </w:tc>
        <w:tc>
          <w:tcPr>
            <w:tcW w:w="3541" w:type="dxa"/>
          </w:tcPr>
          <w:p w14:paraId="499116B4" w14:textId="35F94852"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Evaluación temática sobre los vínculos entre la diversidad biológica, el agua, la alimentación y la salud (“evaluación de los nexos”)</w:t>
            </w:r>
            <w:r w:rsidRPr="000E19B1">
              <w:rPr>
                <w:rFonts w:asciiTheme="majorBidi" w:hAnsiTheme="majorBidi"/>
                <w:i/>
                <w:snapToGrid w:val="0"/>
                <w:sz w:val="20"/>
                <w:vertAlign w:val="superscript"/>
              </w:rPr>
              <w:t>b</w:t>
            </w:r>
          </w:p>
        </w:tc>
        <w:tc>
          <w:tcPr>
            <w:tcW w:w="3542" w:type="dxa"/>
          </w:tcPr>
          <w:p w14:paraId="5E20DFD7" w14:textId="49ED64B1"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En una reunión del Órgano Subsidiario que se celebre antes de la 17ª reunión de la Conferencia de las Partes y en la 17ª</w:t>
            </w:r>
            <w:r w:rsidR="006C2428">
              <w:rPr>
                <w:rFonts w:asciiTheme="majorBidi" w:hAnsiTheme="majorBidi"/>
                <w:snapToGrid w:val="0"/>
                <w:sz w:val="20"/>
              </w:rPr>
              <w:t> </w:t>
            </w:r>
            <w:r w:rsidRPr="000E19B1">
              <w:rPr>
                <w:rFonts w:asciiTheme="majorBidi" w:hAnsiTheme="majorBidi"/>
                <w:snapToGrid w:val="0"/>
                <w:sz w:val="20"/>
              </w:rPr>
              <w:t>reunión de la Conferencia de las Partes (2026)</w:t>
            </w:r>
          </w:p>
        </w:tc>
      </w:tr>
      <w:tr w:rsidR="00077A1D" w:rsidRPr="000E19B1" w14:paraId="7263F361" w14:textId="77777777" w:rsidTr="00D12624">
        <w:trPr>
          <w:trHeight w:val="57"/>
          <w:jc w:val="right"/>
        </w:trPr>
        <w:tc>
          <w:tcPr>
            <w:tcW w:w="2835" w:type="dxa"/>
            <w:vMerge/>
          </w:tcPr>
          <w:p w14:paraId="39B90BE1"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p>
        </w:tc>
        <w:tc>
          <w:tcPr>
            <w:tcW w:w="3541" w:type="dxa"/>
          </w:tcPr>
          <w:p w14:paraId="0B09814C" w14:textId="37583DC4"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Evaluación temática de las causas subyacentes de la pérdida de diversidad biológica, los factores determinantes de un cambio transformador y opciones para hacer realidad la Visión 2050 para la Diversidad Biológica (“evaluación del cambio transformador”)</w:t>
            </w:r>
            <w:r w:rsidRPr="000E19B1">
              <w:rPr>
                <w:rFonts w:asciiTheme="majorBidi" w:hAnsiTheme="majorBidi"/>
                <w:i/>
                <w:snapToGrid w:val="0"/>
                <w:sz w:val="20"/>
                <w:vertAlign w:val="superscript"/>
              </w:rPr>
              <w:t>c</w:t>
            </w:r>
          </w:p>
        </w:tc>
        <w:tc>
          <w:tcPr>
            <w:tcW w:w="3542" w:type="dxa"/>
          </w:tcPr>
          <w:p w14:paraId="06B1E9D3" w14:textId="0F2FA6A6"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En una reunión del Órgano Subsidiario que se celebre antes de la 17ª reunión de la Conferencia de las Partes y en la 17ª</w:t>
            </w:r>
            <w:r w:rsidR="006C2428">
              <w:rPr>
                <w:rFonts w:asciiTheme="majorBidi" w:hAnsiTheme="majorBidi"/>
                <w:snapToGrid w:val="0"/>
                <w:sz w:val="20"/>
              </w:rPr>
              <w:t> </w:t>
            </w:r>
            <w:r w:rsidRPr="000E19B1">
              <w:rPr>
                <w:rFonts w:asciiTheme="majorBidi" w:hAnsiTheme="majorBidi"/>
                <w:snapToGrid w:val="0"/>
                <w:sz w:val="20"/>
              </w:rPr>
              <w:t>reunión de la Conferencia de las Partes (2026)</w:t>
            </w:r>
          </w:p>
        </w:tc>
      </w:tr>
      <w:tr w:rsidR="00077A1D" w:rsidRPr="000E19B1" w14:paraId="7D982722" w14:textId="77777777" w:rsidTr="00D12624">
        <w:trPr>
          <w:trHeight w:val="57"/>
          <w:jc w:val="right"/>
        </w:trPr>
        <w:tc>
          <w:tcPr>
            <w:tcW w:w="2835" w:type="dxa"/>
          </w:tcPr>
          <w:p w14:paraId="7F7CC51F"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12º período de sesiones (2025)</w:t>
            </w:r>
          </w:p>
        </w:tc>
        <w:tc>
          <w:tcPr>
            <w:tcW w:w="3541" w:type="dxa"/>
          </w:tcPr>
          <w:p w14:paraId="70A34440" w14:textId="4F466916"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Evaluación metodológica de los efectos y la dependencia de las empresas en relación con la diversidad biológica y las contribuciones de la naturaleza para las personas (“evaluación de las empresas y la diversidad biológica”)</w:t>
            </w:r>
            <w:r w:rsidRPr="000E19B1">
              <w:rPr>
                <w:rFonts w:asciiTheme="majorBidi" w:hAnsiTheme="majorBidi"/>
                <w:i/>
                <w:snapToGrid w:val="0"/>
                <w:sz w:val="20"/>
                <w:vertAlign w:val="superscript"/>
              </w:rPr>
              <w:t>d</w:t>
            </w:r>
          </w:p>
        </w:tc>
        <w:tc>
          <w:tcPr>
            <w:tcW w:w="3542" w:type="dxa"/>
          </w:tcPr>
          <w:p w14:paraId="427E2D2E" w14:textId="6A316D96"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En una reunión del Órgano Subsidiario que se celebre antes de la 17ª reunión de la Conferencia de las Partes y en la 17ª</w:t>
            </w:r>
            <w:r w:rsidR="006C2428">
              <w:rPr>
                <w:rFonts w:asciiTheme="majorBidi" w:hAnsiTheme="majorBidi"/>
                <w:snapToGrid w:val="0"/>
                <w:sz w:val="20"/>
              </w:rPr>
              <w:t> </w:t>
            </w:r>
            <w:r w:rsidRPr="000E19B1">
              <w:rPr>
                <w:rFonts w:asciiTheme="majorBidi" w:hAnsiTheme="majorBidi"/>
                <w:snapToGrid w:val="0"/>
                <w:sz w:val="20"/>
              </w:rPr>
              <w:t>reunión de la Conferencia de las Partes (2026)</w:t>
            </w:r>
          </w:p>
        </w:tc>
      </w:tr>
      <w:tr w:rsidR="00077A1D" w:rsidRPr="000E19B1" w14:paraId="0A551459" w14:textId="77777777" w:rsidTr="00D12624">
        <w:trPr>
          <w:trHeight w:val="57"/>
          <w:jc w:val="right"/>
        </w:trPr>
        <w:tc>
          <w:tcPr>
            <w:tcW w:w="2835" w:type="dxa"/>
          </w:tcPr>
          <w:p w14:paraId="512232FE"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13º período de sesiones (2026)</w:t>
            </w:r>
          </w:p>
        </w:tc>
        <w:tc>
          <w:tcPr>
            <w:tcW w:w="3541" w:type="dxa"/>
          </w:tcPr>
          <w:p w14:paraId="280B2CFE"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Evaluación metodológica sobre la vigilancia de la diversidad biológica y las contribuciones de la naturaleza a las personas (“evaluación sobre la vigilancia”)</w:t>
            </w:r>
          </w:p>
        </w:tc>
        <w:tc>
          <w:tcPr>
            <w:tcW w:w="3542" w:type="dxa"/>
          </w:tcPr>
          <w:p w14:paraId="4FC9C345"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 xml:space="preserve">En la 17ª reunión de la Conferencia de las Partes (2026), en una reunión del Órgano Subsidiario que se celebre antes de la 18ª reunión de la Conferencia de las Partes (2028) y en la 18ª reunión de la Conferencia de las Partes (2028) </w:t>
            </w:r>
          </w:p>
        </w:tc>
      </w:tr>
      <w:tr w:rsidR="00077A1D" w:rsidRPr="000E19B1" w14:paraId="433CA23A" w14:textId="77777777" w:rsidTr="00D12624">
        <w:trPr>
          <w:trHeight w:val="57"/>
          <w:jc w:val="right"/>
        </w:trPr>
        <w:tc>
          <w:tcPr>
            <w:tcW w:w="2835" w:type="dxa"/>
          </w:tcPr>
          <w:p w14:paraId="7CFA4B7B"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14º período de sesiones (2027)</w:t>
            </w:r>
          </w:p>
        </w:tc>
        <w:tc>
          <w:tcPr>
            <w:tcW w:w="3541" w:type="dxa"/>
          </w:tcPr>
          <w:p w14:paraId="292EB3E2"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Evaluación metodológica de la planificación espacial y la conectividad ecológica integradas que tengan en cuenta la diversidad biológica</w:t>
            </w:r>
          </w:p>
        </w:tc>
        <w:tc>
          <w:tcPr>
            <w:tcW w:w="3542" w:type="dxa"/>
          </w:tcPr>
          <w:p w14:paraId="7FB7A4DD"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En una reunión del Órgano Subsidiario que se celebre antes de la 18ª reunión de la Conferencia de las Partes y en la 18ª reunión de la Conferencia de las Partes (2028)</w:t>
            </w:r>
          </w:p>
        </w:tc>
      </w:tr>
      <w:tr w:rsidR="00077A1D" w:rsidRPr="000E19B1" w14:paraId="1F146316" w14:textId="77777777" w:rsidTr="00D12624">
        <w:trPr>
          <w:trHeight w:val="57"/>
          <w:jc w:val="right"/>
        </w:trPr>
        <w:tc>
          <w:tcPr>
            <w:tcW w:w="2835" w:type="dxa"/>
          </w:tcPr>
          <w:p w14:paraId="0828734D"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15º período de sesiones (2028)</w:t>
            </w:r>
          </w:p>
        </w:tc>
        <w:tc>
          <w:tcPr>
            <w:tcW w:w="3541" w:type="dxa"/>
          </w:tcPr>
          <w:p w14:paraId="12DBF77D"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Segunda evaluación mundial de la diversidad biológica y los servicios de los ecosistemas</w:t>
            </w:r>
          </w:p>
        </w:tc>
        <w:tc>
          <w:tcPr>
            <w:tcW w:w="3542" w:type="dxa"/>
          </w:tcPr>
          <w:p w14:paraId="1BB237D3"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En una reunión del Órgano Subsidiario que se celebre antes de la 19ª reunión de la Conferencia de las Partes y en la 19ª reunión de la Conferencia de las Partes (2030)</w:t>
            </w:r>
          </w:p>
        </w:tc>
      </w:tr>
      <w:tr w:rsidR="00077A1D" w:rsidRPr="000E19B1" w14:paraId="0DABCC80" w14:textId="77777777" w:rsidTr="00D12624">
        <w:trPr>
          <w:cantSplit/>
          <w:trHeight w:val="57"/>
          <w:jc w:val="right"/>
        </w:trPr>
        <w:tc>
          <w:tcPr>
            <w:tcW w:w="2835" w:type="dxa"/>
          </w:tcPr>
          <w:p w14:paraId="6C29F6C4" w14:textId="77777777" w:rsidR="00B9563E" w:rsidRPr="000E19B1" w:rsidRDefault="00B9563E" w:rsidP="00D12624">
            <w:pPr>
              <w:pageBreakBefore/>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lastRenderedPageBreak/>
              <w:t>16º período de sesiones (2029)</w:t>
            </w:r>
          </w:p>
        </w:tc>
        <w:tc>
          <w:tcPr>
            <w:tcW w:w="3541" w:type="dxa"/>
          </w:tcPr>
          <w:p w14:paraId="20ECAAC0"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Tema de evaluación que se determinará en el 12º período de sesiones del Plenario de la Plataforma Intergubernamental Científico-Normativa sobre Diversidad Biológica y Servicios de los Ecosistemas</w:t>
            </w:r>
          </w:p>
        </w:tc>
        <w:tc>
          <w:tcPr>
            <w:tcW w:w="3542" w:type="dxa"/>
          </w:tcPr>
          <w:p w14:paraId="325F50CE" w14:textId="77777777" w:rsidR="00B9563E" w:rsidRPr="000E19B1" w:rsidRDefault="00B9563E" w:rsidP="00870756">
            <w:pPr>
              <w:suppressLineNumbers/>
              <w:suppressAutoHyphens/>
              <w:kinsoku w:val="0"/>
              <w:overflowPunct w:val="0"/>
              <w:autoSpaceDE w:val="0"/>
              <w:autoSpaceDN w:val="0"/>
              <w:adjustRightInd w:val="0"/>
              <w:snapToGrid w:val="0"/>
              <w:spacing w:before="40" w:after="60"/>
              <w:jc w:val="left"/>
              <w:rPr>
                <w:rFonts w:asciiTheme="majorBidi" w:hAnsiTheme="majorBidi" w:cstheme="majorBidi"/>
                <w:snapToGrid w:val="0"/>
                <w:kern w:val="22"/>
                <w:sz w:val="20"/>
                <w:szCs w:val="20"/>
              </w:rPr>
            </w:pPr>
            <w:r w:rsidRPr="000E19B1">
              <w:rPr>
                <w:rFonts w:asciiTheme="majorBidi" w:hAnsiTheme="majorBidi"/>
                <w:snapToGrid w:val="0"/>
                <w:sz w:val="20"/>
              </w:rPr>
              <w:t>En una reunión del Órgano Subsidiario que se celebre antes de la 19ª reunión de la Conferencia de las Partes y en la 19ª reunión de la Conferencia de las Partes (2030)</w:t>
            </w:r>
          </w:p>
        </w:tc>
      </w:tr>
    </w:tbl>
    <w:p w14:paraId="44E77E14" w14:textId="5B3A4583" w:rsidR="00B15C40" w:rsidRPr="000E19B1" w:rsidRDefault="00B9563E" w:rsidP="00B15C40">
      <w:pPr>
        <w:tabs>
          <w:tab w:val="clear" w:pos="1134"/>
          <w:tab w:val="left" w:pos="851"/>
        </w:tabs>
        <w:snapToGrid w:val="0"/>
        <w:ind w:left="567"/>
        <w:rPr>
          <w:rFonts w:eastAsia="MS Mincho"/>
          <w:kern w:val="22"/>
          <w:sz w:val="18"/>
          <w:szCs w:val="18"/>
        </w:rPr>
      </w:pPr>
      <w:r w:rsidRPr="000E19B1">
        <w:rPr>
          <w:i/>
          <w:sz w:val="18"/>
          <w:vertAlign w:val="superscript"/>
        </w:rPr>
        <w:t>a</w:t>
      </w:r>
      <w:r w:rsidRPr="000E19B1">
        <w:rPr>
          <w:sz w:val="18"/>
        </w:rPr>
        <w:tab/>
        <w:t>Las fechas de los períodos de sesiones futuros son indicativas.</w:t>
      </w:r>
    </w:p>
    <w:p w14:paraId="12D0FFED" w14:textId="7C5CD148" w:rsidR="00B9563E" w:rsidRPr="000E19B1" w:rsidRDefault="00B15C40" w:rsidP="00B15C40">
      <w:pPr>
        <w:tabs>
          <w:tab w:val="clear" w:pos="1134"/>
          <w:tab w:val="left" w:pos="851"/>
        </w:tabs>
        <w:snapToGrid w:val="0"/>
        <w:ind w:left="567"/>
        <w:rPr>
          <w:rFonts w:asciiTheme="majorBidi" w:hAnsiTheme="majorBidi" w:cstheme="majorBidi"/>
          <w:snapToGrid w:val="0"/>
          <w:color w:val="0563C1" w:themeColor="hyperlink"/>
          <w:kern w:val="22"/>
          <w:sz w:val="18"/>
          <w:szCs w:val="18"/>
          <w:u w:val="single"/>
        </w:rPr>
      </w:pPr>
      <w:r w:rsidRPr="000E19B1">
        <w:rPr>
          <w:i/>
          <w:sz w:val="18"/>
          <w:vertAlign w:val="superscript"/>
        </w:rPr>
        <w:t>b</w:t>
      </w:r>
      <w:r w:rsidRPr="000E19B1">
        <w:rPr>
          <w:sz w:val="18"/>
        </w:rPr>
        <w:tab/>
        <w:t xml:space="preserve">Véase </w:t>
      </w:r>
      <w:hyperlink r:id="rId20" w:history="1">
        <w:r w:rsidRPr="000E19B1">
          <w:rPr>
            <w:rStyle w:val="Hipervnculo"/>
            <w:rFonts w:asciiTheme="majorBidi" w:hAnsiTheme="majorBidi"/>
            <w:snapToGrid w:val="0"/>
            <w:sz w:val="18"/>
          </w:rPr>
          <w:t>https://ipbes.net/nexus</w:t>
        </w:r>
      </w:hyperlink>
      <w:r w:rsidRPr="000E19B1">
        <w:t>.</w:t>
      </w:r>
    </w:p>
    <w:p w14:paraId="76F6EE20" w14:textId="14751B58" w:rsidR="00B9563E" w:rsidRPr="000E19B1" w:rsidRDefault="00B15C40" w:rsidP="00B15C40">
      <w:pPr>
        <w:tabs>
          <w:tab w:val="clear" w:pos="1134"/>
          <w:tab w:val="left" w:pos="851"/>
        </w:tabs>
        <w:snapToGrid w:val="0"/>
        <w:ind w:left="567"/>
        <w:rPr>
          <w:rFonts w:asciiTheme="majorBidi" w:hAnsiTheme="majorBidi" w:cstheme="majorBidi"/>
          <w:snapToGrid w:val="0"/>
          <w:color w:val="0563C1" w:themeColor="hyperlink"/>
          <w:kern w:val="22"/>
          <w:sz w:val="18"/>
          <w:szCs w:val="18"/>
          <w:u w:val="single"/>
        </w:rPr>
      </w:pPr>
      <w:r w:rsidRPr="000E19B1">
        <w:rPr>
          <w:i/>
          <w:sz w:val="18"/>
          <w:vertAlign w:val="superscript"/>
        </w:rPr>
        <w:t>c</w:t>
      </w:r>
      <w:r w:rsidRPr="000E19B1">
        <w:rPr>
          <w:sz w:val="18"/>
        </w:rPr>
        <w:tab/>
        <w:t xml:space="preserve">Véase </w:t>
      </w:r>
      <w:hyperlink r:id="rId21" w:history="1">
        <w:r w:rsidRPr="000E19B1">
          <w:rPr>
            <w:rStyle w:val="Hipervnculo"/>
            <w:rFonts w:asciiTheme="majorBidi" w:hAnsiTheme="majorBidi"/>
            <w:snapToGrid w:val="0"/>
            <w:sz w:val="18"/>
          </w:rPr>
          <w:t>https://ipbes.net/transformative-change</w:t>
        </w:r>
      </w:hyperlink>
      <w:r w:rsidRPr="000E19B1">
        <w:t>.</w:t>
      </w:r>
    </w:p>
    <w:p w14:paraId="322E62A7" w14:textId="77C7922D" w:rsidR="00B9563E" w:rsidRPr="000E19B1" w:rsidRDefault="00B15C40" w:rsidP="00B15C40">
      <w:pPr>
        <w:tabs>
          <w:tab w:val="clear" w:pos="1134"/>
          <w:tab w:val="left" w:pos="851"/>
        </w:tabs>
        <w:snapToGrid w:val="0"/>
        <w:ind w:left="567"/>
        <w:rPr>
          <w:i/>
          <w:iCs/>
        </w:rPr>
      </w:pPr>
      <w:r w:rsidRPr="000E19B1">
        <w:rPr>
          <w:i/>
          <w:sz w:val="18"/>
          <w:vertAlign w:val="superscript"/>
        </w:rPr>
        <w:t>d</w:t>
      </w:r>
      <w:r w:rsidRPr="000E19B1">
        <w:rPr>
          <w:i/>
          <w:sz w:val="18"/>
        </w:rPr>
        <w:tab/>
      </w:r>
      <w:r w:rsidRPr="000E19B1">
        <w:rPr>
          <w:sz w:val="18"/>
        </w:rPr>
        <w:t xml:space="preserve">Véase </w:t>
      </w:r>
      <w:hyperlink r:id="rId22" w:history="1">
        <w:r w:rsidRPr="000E19B1">
          <w:rPr>
            <w:rStyle w:val="Hipervnculo"/>
            <w:rFonts w:asciiTheme="majorBidi" w:hAnsiTheme="majorBidi"/>
            <w:snapToGrid w:val="0"/>
            <w:sz w:val="18"/>
          </w:rPr>
          <w:t>https://ipbes.net/business-impact</w:t>
        </w:r>
      </w:hyperlink>
      <w:r w:rsidRPr="000E19B1">
        <w:t>.</w:t>
      </w:r>
    </w:p>
    <w:p w14:paraId="3669E161" w14:textId="4BFD8B65" w:rsidR="00861EFE" w:rsidRPr="000E19B1" w:rsidRDefault="00861EFE" w:rsidP="00870756">
      <w:pPr>
        <w:jc w:val="center"/>
      </w:pPr>
      <w:r w:rsidRPr="000E19B1">
        <w:t>__________</w:t>
      </w:r>
    </w:p>
    <w:sectPr w:rsidR="00861EFE" w:rsidRPr="000E19B1" w:rsidSect="00AD22E3">
      <w:headerReference w:type="even" r:id="rId23"/>
      <w:headerReference w:type="default" r:id="rId24"/>
      <w:footerReference w:type="even" r:id="rId25"/>
      <w:footerReference w:type="default" r:id="rId26"/>
      <w:headerReference w:type="first" r:id="rId27"/>
      <w:pgSz w:w="12240" w:h="15840"/>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7ABF" w14:textId="77777777" w:rsidR="00B40EAC" w:rsidRPr="004052D9" w:rsidRDefault="00B40EAC" w:rsidP="00A96B21">
      <w:r w:rsidRPr="004052D9">
        <w:separator/>
      </w:r>
    </w:p>
  </w:endnote>
  <w:endnote w:type="continuationSeparator" w:id="0">
    <w:p w14:paraId="5330B0E0" w14:textId="77777777" w:rsidR="00B40EAC" w:rsidRPr="004052D9" w:rsidRDefault="00B40EAC" w:rsidP="00A96B21">
      <w:r w:rsidRPr="004052D9">
        <w:continuationSeparator/>
      </w:r>
    </w:p>
  </w:endnote>
  <w:endnote w:type="continuationNotice" w:id="1">
    <w:p w14:paraId="75ACF43B" w14:textId="77777777" w:rsidR="00B40EAC" w:rsidRPr="004052D9" w:rsidRDefault="00B40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5C906765" w14:textId="19752067" w:rsidR="003F4E79" w:rsidRDefault="003F4E79" w:rsidP="00AD22E3">
            <w:pPr>
              <w:pStyle w:val="CBDFooter"/>
            </w:pPr>
            <w:r w:rsidRPr="00C4251B">
              <w:fldChar w:fldCharType="begin"/>
            </w:r>
            <w:r w:rsidRPr="00C4251B">
              <w:instrText xml:space="preserve"> PAGE </w:instrText>
            </w:r>
            <w:r w:rsidRPr="00C4251B">
              <w:fldChar w:fldCharType="separate"/>
            </w:r>
            <w:r>
              <w:t>2</w:t>
            </w:r>
            <w:r w:rsidRPr="00C4251B">
              <w:fldChar w:fldCharType="end"/>
            </w:r>
            <w:r>
              <w:t>/</w:t>
            </w:r>
            <w:fldSimple w:instr=" NUMPAGES  ">
              <w:r>
                <w:t>9</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031837"/>
      <w:docPartObj>
        <w:docPartGallery w:val="Page Numbers (Bottom of Page)"/>
        <w:docPartUnique/>
      </w:docPartObj>
    </w:sdtPr>
    <w:sdtContent>
      <w:sdt>
        <w:sdtPr>
          <w:id w:val="-1239783395"/>
          <w:docPartObj>
            <w:docPartGallery w:val="Page Numbers (Top of Page)"/>
            <w:docPartUnique/>
          </w:docPartObj>
        </w:sdtPr>
        <w:sdtContent>
          <w:p w14:paraId="3D7045F8" w14:textId="090AA4CE" w:rsidR="003F4E79" w:rsidRDefault="003F4E79" w:rsidP="00AD22E3">
            <w:pPr>
              <w:pStyle w:val="CBDFooter"/>
              <w:jc w:val="right"/>
            </w:pPr>
            <w:r w:rsidRPr="00C4251B">
              <w:fldChar w:fldCharType="begin"/>
            </w:r>
            <w:r w:rsidRPr="00C4251B">
              <w:instrText xml:space="preserve"> PAGE </w:instrText>
            </w:r>
            <w:r w:rsidRPr="00C4251B">
              <w:fldChar w:fldCharType="separate"/>
            </w:r>
            <w:r>
              <w:t>2</w:t>
            </w:r>
            <w:r w:rsidRPr="00C4251B">
              <w:fldChar w:fldCharType="end"/>
            </w:r>
            <w:r>
              <w:t>/</w:t>
            </w:r>
            <w:fldSimple w:instr=" NUMPAGES  ">
              <w:r>
                <w:t>9</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DB5B1" w14:textId="77777777" w:rsidR="00B40EAC" w:rsidRPr="004052D9" w:rsidRDefault="00B40EAC" w:rsidP="00AD22E3">
      <w:pPr>
        <w:pStyle w:val="CBDNormal"/>
      </w:pPr>
      <w:r>
        <w:separator/>
      </w:r>
    </w:p>
  </w:footnote>
  <w:footnote w:type="continuationSeparator" w:id="0">
    <w:p w14:paraId="55AEE1BC" w14:textId="77777777" w:rsidR="00B40EAC" w:rsidRPr="004052D9" w:rsidRDefault="00B40EAC" w:rsidP="00AD22E3">
      <w:pPr>
        <w:pStyle w:val="CBDNormal"/>
      </w:pPr>
      <w:r w:rsidRPr="004052D9">
        <w:continuationSeparator/>
      </w:r>
    </w:p>
  </w:footnote>
  <w:footnote w:type="continuationNotice" w:id="1">
    <w:p w14:paraId="4FED1709" w14:textId="77777777" w:rsidR="00B40EAC" w:rsidRPr="004052D9" w:rsidRDefault="00B40EAC" w:rsidP="00AD22E3">
      <w:pPr>
        <w:pStyle w:val="CBDNormal"/>
      </w:pPr>
    </w:p>
  </w:footnote>
  <w:footnote w:id="2">
    <w:p w14:paraId="2543885A" w14:textId="77777777" w:rsidR="00B04A4E" w:rsidRPr="004052D9" w:rsidRDefault="00B04A4E" w:rsidP="00B04A4E">
      <w:pPr>
        <w:pStyle w:val="CBDFootnoteText"/>
      </w:pPr>
      <w:r>
        <w:rPr>
          <w:rStyle w:val="Refdenotaalpie"/>
          <w:szCs w:val="18"/>
        </w:rPr>
        <w:footnoteRef/>
      </w:r>
      <w:r>
        <w:t xml:space="preserve"> Naciones Unidas, </w:t>
      </w:r>
      <w:r>
        <w:rPr>
          <w:i/>
        </w:rPr>
        <w:t>Treaty Series</w:t>
      </w:r>
      <w:r>
        <w:t>,</w:t>
      </w:r>
      <w:r>
        <w:rPr>
          <w:i/>
        </w:rPr>
        <w:t xml:space="preserve"> </w:t>
      </w:r>
      <w:r>
        <w:t>vol. 1760, núm. 30619.</w:t>
      </w:r>
    </w:p>
  </w:footnote>
  <w:footnote w:id="3">
    <w:p w14:paraId="6BBBFD56" w14:textId="66EC6FEB" w:rsidR="00B9563E" w:rsidRPr="004052D9" w:rsidRDefault="00A05897" w:rsidP="00AD22E3">
      <w:pPr>
        <w:pStyle w:val="CBDFootnoteText"/>
      </w:pPr>
      <w:r>
        <w:rPr>
          <w:rStyle w:val="Refdenotaalpie"/>
          <w:rFonts w:eastAsiaTheme="majorEastAsia"/>
          <w:szCs w:val="18"/>
        </w:rPr>
        <w:footnoteRef/>
      </w:r>
      <w:r>
        <w:t xml:space="preserve"> Decisión IPBES-10/1 de la Plataforma Intergubernamental Científico-Normativa sobre Diversidad Biológica y Servicios de los Ecosistemas.</w:t>
      </w:r>
    </w:p>
  </w:footnote>
  <w:footnote w:id="4">
    <w:p w14:paraId="29B23148" w14:textId="36EACEC9" w:rsidR="00B548EE" w:rsidRPr="00AD22E3" w:rsidRDefault="00B548EE">
      <w:pPr>
        <w:pStyle w:val="Textonotapie"/>
      </w:pPr>
      <w:r>
        <w:rPr>
          <w:rStyle w:val="Refdenotaalpie"/>
        </w:rPr>
        <w:footnoteRef/>
      </w:r>
      <w:r>
        <w:t xml:space="preserve"> Decisión 15/4,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3874" w14:textId="5EEC8405" w:rsidR="00077A1D" w:rsidRDefault="000E19B1" w:rsidP="00AD22E3">
    <w:pPr>
      <w:pStyle w:val="CBDHeader"/>
    </w:pPr>
    <w:fldSimple w:instr=" StyleRef AB_Symbol ">
      <w:r w:rsidR="006C2428">
        <w:rPr>
          <w:noProof/>
        </w:rPr>
        <w:t>CBD/COP/DEC/16/11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5DC9" w14:textId="4B7E427C" w:rsidR="00077A1D" w:rsidRDefault="000E19B1" w:rsidP="00AD22E3">
    <w:pPr>
      <w:pStyle w:val="CBDHeader"/>
      <w:jc w:val="right"/>
    </w:pPr>
    <w:fldSimple w:instr=" StyleRef AB_Symbol ">
      <w:r w:rsidR="006C2428">
        <w:rPr>
          <w:noProof/>
        </w:rPr>
        <w:t>CBD/COP/DEC/16/11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Default="001662BF" w:rsidP="001662BF">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num w:numId="1" w16cid:durableId="1944222708">
    <w:abstractNumId w:val="1"/>
  </w:num>
  <w:num w:numId="2" w16cid:durableId="1308514536">
    <w:abstractNumId w:val="2"/>
  </w:num>
  <w:num w:numId="3" w16cid:durableId="35277319">
    <w:abstractNumId w:val="3"/>
  </w:num>
  <w:num w:numId="4" w16cid:durableId="70321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226228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50C"/>
    <w:rsid w:val="0001160A"/>
    <w:rsid w:val="00011612"/>
    <w:rsid w:val="00013867"/>
    <w:rsid w:val="0002154B"/>
    <w:rsid w:val="00022FED"/>
    <w:rsid w:val="00040598"/>
    <w:rsid w:val="00045A10"/>
    <w:rsid w:val="0006727C"/>
    <w:rsid w:val="00067490"/>
    <w:rsid w:val="0006753E"/>
    <w:rsid w:val="0006764E"/>
    <w:rsid w:val="00077A1D"/>
    <w:rsid w:val="0008223A"/>
    <w:rsid w:val="00083A87"/>
    <w:rsid w:val="000848F0"/>
    <w:rsid w:val="000A3ACD"/>
    <w:rsid w:val="000B1E29"/>
    <w:rsid w:val="000D3310"/>
    <w:rsid w:val="000E19B1"/>
    <w:rsid w:val="000F5583"/>
    <w:rsid w:val="000F66FD"/>
    <w:rsid w:val="00107FE8"/>
    <w:rsid w:val="00123C9F"/>
    <w:rsid w:val="00132581"/>
    <w:rsid w:val="00143359"/>
    <w:rsid w:val="001454DA"/>
    <w:rsid w:val="0014686D"/>
    <w:rsid w:val="001500D4"/>
    <w:rsid w:val="00152B21"/>
    <w:rsid w:val="00155BA4"/>
    <w:rsid w:val="001662BF"/>
    <w:rsid w:val="00174B1E"/>
    <w:rsid w:val="00174BCB"/>
    <w:rsid w:val="00177500"/>
    <w:rsid w:val="00181B60"/>
    <w:rsid w:val="00184909"/>
    <w:rsid w:val="00190168"/>
    <w:rsid w:val="00192AFD"/>
    <w:rsid w:val="00195EA8"/>
    <w:rsid w:val="001A2527"/>
    <w:rsid w:val="001C0E04"/>
    <w:rsid w:val="001C26A3"/>
    <w:rsid w:val="001C2E64"/>
    <w:rsid w:val="001D6F6D"/>
    <w:rsid w:val="001D7501"/>
    <w:rsid w:val="001E0AFF"/>
    <w:rsid w:val="001E3FA7"/>
    <w:rsid w:val="001E4E16"/>
    <w:rsid w:val="001E79E9"/>
    <w:rsid w:val="00200345"/>
    <w:rsid w:val="002161FA"/>
    <w:rsid w:val="0021757B"/>
    <w:rsid w:val="002244D2"/>
    <w:rsid w:val="002279E4"/>
    <w:rsid w:val="002517EE"/>
    <w:rsid w:val="00253BD7"/>
    <w:rsid w:val="00263D72"/>
    <w:rsid w:val="002A19E6"/>
    <w:rsid w:val="002B00CA"/>
    <w:rsid w:val="002B559C"/>
    <w:rsid w:val="002B7047"/>
    <w:rsid w:val="002C32CD"/>
    <w:rsid w:val="002D3DDD"/>
    <w:rsid w:val="002D48DB"/>
    <w:rsid w:val="002E725F"/>
    <w:rsid w:val="003019B5"/>
    <w:rsid w:val="00303F0B"/>
    <w:rsid w:val="00306841"/>
    <w:rsid w:val="00310608"/>
    <w:rsid w:val="00323F22"/>
    <w:rsid w:val="003476A9"/>
    <w:rsid w:val="0035324A"/>
    <w:rsid w:val="003544A3"/>
    <w:rsid w:val="00371E15"/>
    <w:rsid w:val="00380CE2"/>
    <w:rsid w:val="00384002"/>
    <w:rsid w:val="00393B1C"/>
    <w:rsid w:val="003A6CF9"/>
    <w:rsid w:val="003A6F2A"/>
    <w:rsid w:val="003B4DD6"/>
    <w:rsid w:val="003C1047"/>
    <w:rsid w:val="003C3310"/>
    <w:rsid w:val="003C6F10"/>
    <w:rsid w:val="003D27B1"/>
    <w:rsid w:val="003D7D78"/>
    <w:rsid w:val="003F4E79"/>
    <w:rsid w:val="003F5BD2"/>
    <w:rsid w:val="004052D9"/>
    <w:rsid w:val="0042460F"/>
    <w:rsid w:val="0043010E"/>
    <w:rsid w:val="0043469B"/>
    <w:rsid w:val="00441498"/>
    <w:rsid w:val="004446C7"/>
    <w:rsid w:val="004701EE"/>
    <w:rsid w:val="004706CA"/>
    <w:rsid w:val="00480A8D"/>
    <w:rsid w:val="004929DE"/>
    <w:rsid w:val="004A2A2D"/>
    <w:rsid w:val="004A61FD"/>
    <w:rsid w:val="004A694E"/>
    <w:rsid w:val="004A7BAD"/>
    <w:rsid w:val="004C5724"/>
    <w:rsid w:val="004C6544"/>
    <w:rsid w:val="004E4B23"/>
    <w:rsid w:val="004E7BA2"/>
    <w:rsid w:val="00505C5E"/>
    <w:rsid w:val="00517921"/>
    <w:rsid w:val="00517F6B"/>
    <w:rsid w:val="00537248"/>
    <w:rsid w:val="005447E5"/>
    <w:rsid w:val="0054639C"/>
    <w:rsid w:val="0055309B"/>
    <w:rsid w:val="005641E9"/>
    <w:rsid w:val="00595240"/>
    <w:rsid w:val="00595A79"/>
    <w:rsid w:val="005A206E"/>
    <w:rsid w:val="005A3630"/>
    <w:rsid w:val="005C0058"/>
    <w:rsid w:val="005E2605"/>
    <w:rsid w:val="005F42EE"/>
    <w:rsid w:val="005F481C"/>
    <w:rsid w:val="00612749"/>
    <w:rsid w:val="00642DF9"/>
    <w:rsid w:val="0064691E"/>
    <w:rsid w:val="006549FB"/>
    <w:rsid w:val="00657ED6"/>
    <w:rsid w:val="00670F19"/>
    <w:rsid w:val="0068167D"/>
    <w:rsid w:val="00687C4F"/>
    <w:rsid w:val="006903E3"/>
    <w:rsid w:val="00697EEE"/>
    <w:rsid w:val="006A06E8"/>
    <w:rsid w:val="006A2EBA"/>
    <w:rsid w:val="006A612F"/>
    <w:rsid w:val="006A6A64"/>
    <w:rsid w:val="006B293D"/>
    <w:rsid w:val="006B5CE6"/>
    <w:rsid w:val="006C2428"/>
    <w:rsid w:val="006C5261"/>
    <w:rsid w:val="006C6370"/>
    <w:rsid w:val="006D4CC9"/>
    <w:rsid w:val="00705E00"/>
    <w:rsid w:val="0071353A"/>
    <w:rsid w:val="007176CA"/>
    <w:rsid w:val="00720F38"/>
    <w:rsid w:val="00724BB4"/>
    <w:rsid w:val="00740312"/>
    <w:rsid w:val="00746ABB"/>
    <w:rsid w:val="0075018F"/>
    <w:rsid w:val="007509B3"/>
    <w:rsid w:val="007550E4"/>
    <w:rsid w:val="00764C1D"/>
    <w:rsid w:val="0076622F"/>
    <w:rsid w:val="00766272"/>
    <w:rsid w:val="00783CB8"/>
    <w:rsid w:val="00784B38"/>
    <w:rsid w:val="00793361"/>
    <w:rsid w:val="007B4018"/>
    <w:rsid w:val="007C715D"/>
    <w:rsid w:val="007C77BC"/>
    <w:rsid w:val="007D2BA1"/>
    <w:rsid w:val="007D2DB0"/>
    <w:rsid w:val="007D2EF4"/>
    <w:rsid w:val="007D5C05"/>
    <w:rsid w:val="007F1E1D"/>
    <w:rsid w:val="007F2473"/>
    <w:rsid w:val="00822922"/>
    <w:rsid w:val="00844B99"/>
    <w:rsid w:val="00861EFE"/>
    <w:rsid w:val="00870756"/>
    <w:rsid w:val="00874541"/>
    <w:rsid w:val="0087582D"/>
    <w:rsid w:val="00880330"/>
    <w:rsid w:val="00892FE5"/>
    <w:rsid w:val="008A4FA1"/>
    <w:rsid w:val="008A79EA"/>
    <w:rsid w:val="008C4B0D"/>
    <w:rsid w:val="008E0581"/>
    <w:rsid w:val="008F6926"/>
    <w:rsid w:val="00917102"/>
    <w:rsid w:val="009301B8"/>
    <w:rsid w:val="00932F3A"/>
    <w:rsid w:val="0093404E"/>
    <w:rsid w:val="00934A13"/>
    <w:rsid w:val="00935461"/>
    <w:rsid w:val="009457AB"/>
    <w:rsid w:val="009459E3"/>
    <w:rsid w:val="00953278"/>
    <w:rsid w:val="00953785"/>
    <w:rsid w:val="009574A9"/>
    <w:rsid w:val="009731FC"/>
    <w:rsid w:val="00976FF7"/>
    <w:rsid w:val="00992DED"/>
    <w:rsid w:val="00993609"/>
    <w:rsid w:val="00995DDC"/>
    <w:rsid w:val="009A576A"/>
    <w:rsid w:val="009A6B16"/>
    <w:rsid w:val="009B2E6C"/>
    <w:rsid w:val="009C1114"/>
    <w:rsid w:val="009C6071"/>
    <w:rsid w:val="009D1A7D"/>
    <w:rsid w:val="009D4E31"/>
    <w:rsid w:val="00A00234"/>
    <w:rsid w:val="00A05897"/>
    <w:rsid w:val="00A240F5"/>
    <w:rsid w:val="00A349E1"/>
    <w:rsid w:val="00A43484"/>
    <w:rsid w:val="00A54FA0"/>
    <w:rsid w:val="00A87592"/>
    <w:rsid w:val="00A96B21"/>
    <w:rsid w:val="00AD22E3"/>
    <w:rsid w:val="00AD26BD"/>
    <w:rsid w:val="00AE1A95"/>
    <w:rsid w:val="00AF384A"/>
    <w:rsid w:val="00B008B7"/>
    <w:rsid w:val="00B0161E"/>
    <w:rsid w:val="00B04A4E"/>
    <w:rsid w:val="00B13A9F"/>
    <w:rsid w:val="00B15C40"/>
    <w:rsid w:val="00B36EA9"/>
    <w:rsid w:val="00B409AD"/>
    <w:rsid w:val="00B40EAC"/>
    <w:rsid w:val="00B41BF6"/>
    <w:rsid w:val="00B45061"/>
    <w:rsid w:val="00B47BB1"/>
    <w:rsid w:val="00B548EE"/>
    <w:rsid w:val="00B6441C"/>
    <w:rsid w:val="00B8722A"/>
    <w:rsid w:val="00B93533"/>
    <w:rsid w:val="00B9563E"/>
    <w:rsid w:val="00BA0086"/>
    <w:rsid w:val="00BA675E"/>
    <w:rsid w:val="00BA684B"/>
    <w:rsid w:val="00BB60F0"/>
    <w:rsid w:val="00BE6B55"/>
    <w:rsid w:val="00BF494E"/>
    <w:rsid w:val="00C02C93"/>
    <w:rsid w:val="00C0332A"/>
    <w:rsid w:val="00C04476"/>
    <w:rsid w:val="00C10509"/>
    <w:rsid w:val="00C11D33"/>
    <w:rsid w:val="00C158C6"/>
    <w:rsid w:val="00C2354A"/>
    <w:rsid w:val="00C35C06"/>
    <w:rsid w:val="00C8141C"/>
    <w:rsid w:val="00C84489"/>
    <w:rsid w:val="00C963D2"/>
    <w:rsid w:val="00CA310D"/>
    <w:rsid w:val="00CA6A57"/>
    <w:rsid w:val="00CB0D9D"/>
    <w:rsid w:val="00CC0A5E"/>
    <w:rsid w:val="00CC2873"/>
    <w:rsid w:val="00CC6918"/>
    <w:rsid w:val="00CF70AB"/>
    <w:rsid w:val="00D03CD4"/>
    <w:rsid w:val="00D12624"/>
    <w:rsid w:val="00D3059B"/>
    <w:rsid w:val="00D45DCF"/>
    <w:rsid w:val="00D50E29"/>
    <w:rsid w:val="00D60046"/>
    <w:rsid w:val="00D64F28"/>
    <w:rsid w:val="00D71FFB"/>
    <w:rsid w:val="00DA511A"/>
    <w:rsid w:val="00DB35CD"/>
    <w:rsid w:val="00DD37E5"/>
    <w:rsid w:val="00DE0A51"/>
    <w:rsid w:val="00DE7145"/>
    <w:rsid w:val="00DF6344"/>
    <w:rsid w:val="00E07BE8"/>
    <w:rsid w:val="00E07FC2"/>
    <w:rsid w:val="00E14AA0"/>
    <w:rsid w:val="00E1597C"/>
    <w:rsid w:val="00E327FA"/>
    <w:rsid w:val="00E33E94"/>
    <w:rsid w:val="00E44A51"/>
    <w:rsid w:val="00E542B3"/>
    <w:rsid w:val="00E72510"/>
    <w:rsid w:val="00E740AC"/>
    <w:rsid w:val="00E8600F"/>
    <w:rsid w:val="00E90DEF"/>
    <w:rsid w:val="00EA1A8C"/>
    <w:rsid w:val="00EA49DD"/>
    <w:rsid w:val="00EB2B48"/>
    <w:rsid w:val="00EC46BD"/>
    <w:rsid w:val="00ED3849"/>
    <w:rsid w:val="00EF071D"/>
    <w:rsid w:val="00EF148C"/>
    <w:rsid w:val="00EF5675"/>
    <w:rsid w:val="00F0122F"/>
    <w:rsid w:val="00F01A4F"/>
    <w:rsid w:val="00F258FB"/>
    <w:rsid w:val="00F30423"/>
    <w:rsid w:val="00F30486"/>
    <w:rsid w:val="00F55525"/>
    <w:rsid w:val="00F643A4"/>
    <w:rsid w:val="00F64690"/>
    <w:rsid w:val="00F72522"/>
    <w:rsid w:val="00F74219"/>
    <w:rsid w:val="00F75F90"/>
    <w:rsid w:val="00F91B49"/>
    <w:rsid w:val="00FA18C9"/>
    <w:rsid w:val="00FA43BB"/>
    <w:rsid w:val="00FA494D"/>
    <w:rsid w:val="00FA593C"/>
    <w:rsid w:val="00FA5F40"/>
    <w:rsid w:val="00FB01DB"/>
    <w:rsid w:val="00FB7E41"/>
    <w:rsid w:val="00FC1740"/>
    <w:rsid w:val="00FC3C94"/>
    <w:rsid w:val="00FC7DC1"/>
    <w:rsid w:val="00FE0B22"/>
    <w:rsid w:val="00FE26E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D9"/>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4052D9"/>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4052D9"/>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4052D9"/>
    <w:pPr>
      <w:keepNext/>
      <w:keepLines/>
      <w:numPr>
        <w:ilvl w:val="2"/>
        <w:numId w:val="2"/>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4052D9"/>
    <w:pPr>
      <w:keepNext/>
      <w:numPr>
        <w:ilvl w:val="3"/>
        <w:numId w:val="2"/>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4052D9"/>
    <w:pPr>
      <w:keepNext/>
      <w:numPr>
        <w:ilvl w:val="4"/>
        <w:numId w:val="2"/>
      </w:numPr>
      <w:spacing w:before="120" w:after="120"/>
      <w:jc w:val="left"/>
      <w:outlineLvl w:val="4"/>
    </w:pPr>
    <w:rPr>
      <w:rFonts w:eastAsiaTheme="majorEastAsia"/>
      <w:i/>
      <w:iCs/>
    </w:rPr>
  </w:style>
  <w:style w:type="paragraph" w:styleId="Ttulo6">
    <w:name w:val="heading 6"/>
    <w:basedOn w:val="Normal"/>
    <w:next w:val="Normal"/>
    <w:link w:val="Ttulo6Car"/>
    <w:semiHidden/>
    <w:rsid w:val="004052D9"/>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4052D9"/>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4052D9"/>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4052D9"/>
    <w:pPr>
      <w:keepNext/>
      <w:widowControl w:val="0"/>
      <w:numPr>
        <w:ilvl w:val="8"/>
        <w:numId w:val="3"/>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4052D9"/>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4052D9"/>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4052D9"/>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4052D9"/>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rsid w:val="004052D9"/>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rsid w:val="004052D9"/>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rsid w:val="004052D9"/>
    <w:rPr>
      <w:vertAlign w:val="superscript"/>
      <w:lang w:val="es-ES"/>
    </w:rPr>
  </w:style>
  <w:style w:type="paragraph" w:customStyle="1" w:styleId="Footnote">
    <w:name w:val="Footnote"/>
    <w:basedOn w:val="Textonotapie"/>
    <w:qFormat/>
    <w:rsid w:val="004052D9"/>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Ttulo2Car">
    <w:name w:val="Título 2 Car"/>
    <w:basedOn w:val="Fuentedeprrafopredeter"/>
    <w:link w:val="Ttulo2"/>
    <w:uiPriority w:val="9"/>
    <w:rsid w:val="004052D9"/>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Encabezado">
    <w:name w:val="header"/>
    <w:basedOn w:val="Normal"/>
    <w:link w:val="EncabezadoCar"/>
    <w:rsid w:val="004052D9"/>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4052D9"/>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4052D9"/>
    <w:pPr>
      <w:tabs>
        <w:tab w:val="center" w:pos="4680"/>
        <w:tab w:val="right" w:pos="9360"/>
      </w:tabs>
    </w:pPr>
    <w:rPr>
      <w:sz w:val="20"/>
    </w:rPr>
  </w:style>
  <w:style w:type="character" w:customStyle="1" w:styleId="PiedepginaCar">
    <w:name w:val="Pie de página Car"/>
    <w:basedOn w:val="Fuentedeprrafopredeter"/>
    <w:link w:val="Piedepgina"/>
    <w:uiPriority w:val="99"/>
    <w:rsid w:val="004052D9"/>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4052D9"/>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4052D9"/>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4052D9"/>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4052D9"/>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4052D9"/>
    <w:rPr>
      <w:sz w:val="16"/>
      <w:szCs w:val="16"/>
      <w:lang w:val="es-ES"/>
    </w:rPr>
  </w:style>
  <w:style w:type="paragraph" w:styleId="Textocomentario">
    <w:name w:val="annotation text"/>
    <w:basedOn w:val="Normal"/>
    <w:link w:val="TextocomentarioCar"/>
    <w:uiPriority w:val="99"/>
    <w:rsid w:val="004052D9"/>
    <w:rPr>
      <w:sz w:val="20"/>
      <w:szCs w:val="20"/>
    </w:rPr>
  </w:style>
  <w:style w:type="character" w:customStyle="1" w:styleId="TextocomentarioCar">
    <w:name w:val="Texto comentario Car"/>
    <w:basedOn w:val="Fuentedeprrafopredeter"/>
    <w:link w:val="Textocomentario"/>
    <w:uiPriority w:val="99"/>
    <w:rsid w:val="004052D9"/>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4052D9"/>
    <w:rPr>
      <w:b/>
      <w:bCs/>
    </w:rPr>
  </w:style>
  <w:style w:type="character" w:customStyle="1" w:styleId="AsuntodelcomentarioCar">
    <w:name w:val="Asunto del comentario Car"/>
    <w:basedOn w:val="TextocomentarioCar"/>
    <w:link w:val="Asuntodelcomentario"/>
    <w:uiPriority w:val="99"/>
    <w:semiHidden/>
    <w:rsid w:val="004052D9"/>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4052D9"/>
    <w:pPr>
      <w:jc w:val="left"/>
    </w:pPr>
  </w:style>
  <w:style w:type="paragraph" w:customStyle="1" w:styleId="AASmallLogo">
    <w:name w:val="AA_SmallLogo"/>
    <w:basedOn w:val="AEDistrNormal"/>
    <w:unhideWhenUsed/>
    <w:rsid w:val="004052D9"/>
    <w:pPr>
      <w:spacing w:before="40"/>
    </w:pPr>
    <w:rPr>
      <w:sz w:val="4"/>
    </w:rPr>
  </w:style>
  <w:style w:type="paragraph" w:customStyle="1" w:styleId="ABSymbol">
    <w:name w:val="AB_Symbol"/>
    <w:basedOn w:val="Normal"/>
    <w:qFormat/>
    <w:rsid w:val="004052D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4052D9"/>
    <w:pPr>
      <w:spacing w:before="120"/>
      <w:contextualSpacing/>
    </w:pPr>
    <w:rPr>
      <w:sz w:val="8"/>
    </w:rPr>
  </w:style>
  <w:style w:type="paragraph" w:customStyle="1" w:styleId="AEDistrNormal6pt">
    <w:name w:val="AE_DistrNormal6pt"/>
    <w:basedOn w:val="AEDistrNormal"/>
    <w:next w:val="AFCorNNormal"/>
    <w:unhideWhenUsed/>
    <w:qFormat/>
    <w:rsid w:val="004052D9"/>
    <w:pPr>
      <w:spacing w:before="120"/>
    </w:pPr>
  </w:style>
  <w:style w:type="paragraph" w:customStyle="1" w:styleId="AENormal">
    <w:name w:val="AE_Normal"/>
    <w:basedOn w:val="Normal"/>
    <w:rsid w:val="004052D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4052D9"/>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4052D9"/>
    <w:pPr>
      <w:keepNext/>
      <w:keepLines/>
      <w:spacing w:before="240" w:after="120"/>
      <w:jc w:val="left"/>
    </w:pPr>
    <w:rPr>
      <w:b/>
      <w:sz w:val="24"/>
    </w:rPr>
  </w:style>
  <w:style w:type="paragraph" w:customStyle="1" w:styleId="CBDNormal">
    <w:name w:val="CBD_Normal"/>
    <w:unhideWhenUsed/>
    <w:qFormat/>
    <w:rsid w:val="004052D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4052D9"/>
    <w:pPr>
      <w:keepNext/>
      <w:keepLines/>
      <w:spacing w:after="240"/>
      <w:jc w:val="left"/>
    </w:pPr>
    <w:rPr>
      <w:b/>
      <w:sz w:val="28"/>
      <w:lang w:bidi="ar-SY"/>
    </w:rPr>
  </w:style>
  <w:style w:type="paragraph" w:customStyle="1" w:styleId="CBDDesicionAnnex">
    <w:name w:val="CBD_DesicionAnnex"/>
    <w:basedOn w:val="CBDNormal"/>
    <w:next w:val="CBDDesicionText"/>
    <w:qFormat/>
    <w:rsid w:val="004052D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052D9"/>
    <w:pPr>
      <w:spacing w:after="120"/>
      <w:ind w:left="567" w:firstLine="567"/>
    </w:pPr>
  </w:style>
  <w:style w:type="paragraph" w:customStyle="1" w:styleId="CBDFigureTitle">
    <w:name w:val="CBD_FigureTitle"/>
    <w:basedOn w:val="CBDNormal"/>
    <w:next w:val="CBDNormalNoNumber"/>
    <w:qFormat/>
    <w:rsid w:val="004052D9"/>
    <w:pPr>
      <w:keepNext/>
      <w:keepLines/>
      <w:spacing w:before="120" w:after="60"/>
      <w:ind w:left="567"/>
      <w:jc w:val="left"/>
    </w:pPr>
    <w:rPr>
      <w:b/>
    </w:rPr>
  </w:style>
  <w:style w:type="paragraph" w:customStyle="1" w:styleId="CBDFooter">
    <w:name w:val="CBD_Footer"/>
    <w:basedOn w:val="CBDNormal"/>
    <w:qFormat/>
    <w:rsid w:val="004052D9"/>
    <w:rPr>
      <w:sz w:val="20"/>
    </w:rPr>
  </w:style>
  <w:style w:type="paragraph" w:customStyle="1" w:styleId="CBDFootnoteText">
    <w:name w:val="CBD_Footnote_Text"/>
    <w:basedOn w:val="CBDNormal"/>
    <w:qFormat/>
    <w:rsid w:val="004052D9"/>
    <w:pPr>
      <w:jc w:val="left"/>
    </w:pPr>
    <w:rPr>
      <w:sz w:val="18"/>
    </w:rPr>
  </w:style>
  <w:style w:type="paragraph" w:customStyle="1" w:styleId="CBDH1">
    <w:name w:val="CBD_H1"/>
    <w:basedOn w:val="CBDNormal"/>
    <w:qFormat/>
    <w:rsid w:val="004052D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4052D9"/>
    <w:pPr>
      <w:numPr>
        <w:numId w:val="1"/>
      </w:numPr>
      <w:tabs>
        <w:tab w:val="left" w:pos="3969"/>
      </w:tabs>
      <w:spacing w:before="120" w:after="120"/>
    </w:pPr>
  </w:style>
  <w:style w:type="paragraph" w:customStyle="1" w:styleId="CBDH2">
    <w:name w:val="CBD_H2"/>
    <w:basedOn w:val="CBDNormalNumber"/>
    <w:qFormat/>
    <w:rsid w:val="004052D9"/>
    <w:pPr>
      <w:keepNext/>
      <w:keepLines/>
      <w:numPr>
        <w:numId w:val="0"/>
      </w:numPr>
      <w:ind w:left="567" w:hanging="567"/>
    </w:pPr>
    <w:rPr>
      <w:b/>
      <w:sz w:val="24"/>
    </w:rPr>
  </w:style>
  <w:style w:type="paragraph" w:customStyle="1" w:styleId="CBDH3">
    <w:name w:val="CBD_H3"/>
    <w:basedOn w:val="CBDNormal"/>
    <w:qFormat/>
    <w:rsid w:val="004052D9"/>
    <w:pPr>
      <w:keepNext/>
      <w:keepLines/>
      <w:spacing w:before="120" w:after="120"/>
      <w:ind w:left="567" w:hanging="567"/>
      <w:jc w:val="left"/>
    </w:pPr>
    <w:rPr>
      <w:b/>
    </w:rPr>
  </w:style>
  <w:style w:type="paragraph" w:customStyle="1" w:styleId="CBDH4">
    <w:name w:val="CBD_H4"/>
    <w:basedOn w:val="CBDNormal"/>
    <w:rsid w:val="004052D9"/>
    <w:pPr>
      <w:keepNext/>
      <w:keepLines/>
      <w:spacing w:before="120" w:after="120"/>
      <w:ind w:left="567" w:hanging="567"/>
      <w:jc w:val="left"/>
    </w:pPr>
    <w:rPr>
      <w:b/>
    </w:rPr>
  </w:style>
  <w:style w:type="paragraph" w:customStyle="1" w:styleId="CBDH5">
    <w:name w:val="CBD_H5"/>
    <w:basedOn w:val="CBDNormal"/>
    <w:qFormat/>
    <w:rsid w:val="004052D9"/>
    <w:pPr>
      <w:keepNext/>
      <w:keepLines/>
      <w:spacing w:before="120" w:after="120"/>
      <w:ind w:left="567" w:hanging="567"/>
      <w:jc w:val="left"/>
    </w:pPr>
    <w:rPr>
      <w:i/>
    </w:rPr>
  </w:style>
  <w:style w:type="paragraph" w:customStyle="1" w:styleId="CBDHeader">
    <w:name w:val="CBD_Header"/>
    <w:basedOn w:val="CBDNormal"/>
    <w:next w:val="CBDFooter"/>
    <w:qFormat/>
    <w:rsid w:val="004052D9"/>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4052D9"/>
    <w:pPr>
      <w:numPr>
        <w:numId w:val="5"/>
      </w:numPr>
    </w:pPr>
  </w:style>
  <w:style w:type="numbering" w:customStyle="1" w:styleId="CBDHeadings">
    <w:name w:val="CBD_Headings"/>
    <w:basedOn w:val="ListCBD"/>
    <w:uiPriority w:val="99"/>
    <w:rsid w:val="004052D9"/>
    <w:pPr>
      <w:numPr>
        <w:numId w:val="2"/>
      </w:numPr>
    </w:pPr>
  </w:style>
  <w:style w:type="paragraph" w:customStyle="1" w:styleId="CBDNormalNoNumber">
    <w:name w:val="CBD_Normal_NoNumber"/>
    <w:basedOn w:val="CBDNormal"/>
    <w:qFormat/>
    <w:rsid w:val="004052D9"/>
    <w:pPr>
      <w:spacing w:after="120"/>
      <w:ind w:left="567"/>
    </w:pPr>
  </w:style>
  <w:style w:type="paragraph" w:customStyle="1" w:styleId="CBDSubTitle">
    <w:name w:val="CBD_SubTitle"/>
    <w:basedOn w:val="CBDNormal"/>
    <w:qFormat/>
    <w:rsid w:val="004052D9"/>
    <w:pPr>
      <w:keepNext/>
      <w:keepLines/>
      <w:spacing w:before="240" w:after="240"/>
      <w:ind w:left="567"/>
      <w:jc w:val="left"/>
    </w:pPr>
    <w:rPr>
      <w:b/>
    </w:rPr>
  </w:style>
  <w:style w:type="paragraph" w:customStyle="1" w:styleId="CBDTableNormal">
    <w:name w:val="CBD_TableNormal"/>
    <w:basedOn w:val="CBDNormal"/>
    <w:qFormat/>
    <w:rsid w:val="004052D9"/>
    <w:pPr>
      <w:spacing w:before="40" w:after="80"/>
      <w:jc w:val="left"/>
    </w:pPr>
    <w:rPr>
      <w:sz w:val="20"/>
    </w:rPr>
  </w:style>
  <w:style w:type="paragraph" w:customStyle="1" w:styleId="CBDTableTitle">
    <w:name w:val="CBD_TableTitle"/>
    <w:basedOn w:val="CBDNormal"/>
    <w:qFormat/>
    <w:rsid w:val="004052D9"/>
    <w:pPr>
      <w:keepNext/>
      <w:keepLines/>
      <w:spacing w:before="120" w:after="60"/>
      <w:ind w:left="567"/>
      <w:jc w:val="left"/>
    </w:pPr>
    <w:rPr>
      <w:b/>
    </w:rPr>
  </w:style>
  <w:style w:type="paragraph" w:customStyle="1" w:styleId="CBDTitle">
    <w:name w:val="CBD_Title"/>
    <w:basedOn w:val="CBDNormal"/>
    <w:next w:val="CBDSubTitle"/>
    <w:qFormat/>
    <w:rsid w:val="004052D9"/>
    <w:pPr>
      <w:keepNext/>
      <w:keepLines/>
      <w:spacing w:before="240" w:after="240"/>
      <w:ind w:left="567"/>
      <w:jc w:val="left"/>
    </w:pPr>
    <w:rPr>
      <w:b/>
      <w:sz w:val="28"/>
    </w:rPr>
  </w:style>
  <w:style w:type="character" w:customStyle="1" w:styleId="Ttulo6Car">
    <w:name w:val="Título 6 Car"/>
    <w:basedOn w:val="Fuentedeprrafopredeter"/>
    <w:link w:val="Ttulo6"/>
    <w:semiHidden/>
    <w:rsid w:val="004052D9"/>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4052D9"/>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4052D9"/>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4052D9"/>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4052D9"/>
    <w:rPr>
      <w:rFonts w:ascii="Times New Roman" w:hAnsi="Times New Roman"/>
      <w:color w:val="0563C1" w:themeColor="hyperlink"/>
      <w:u w:val="single"/>
      <w:lang w:val="es-ES"/>
    </w:rPr>
  </w:style>
  <w:style w:type="paragraph" w:styleId="Lista">
    <w:name w:val="List"/>
    <w:basedOn w:val="Normal"/>
    <w:semiHidden/>
    <w:rsid w:val="004052D9"/>
    <w:pPr>
      <w:contextualSpacing/>
    </w:pPr>
  </w:style>
  <w:style w:type="paragraph" w:styleId="Prrafodelista">
    <w:name w:val="List Paragraph"/>
    <w:basedOn w:val="Normal"/>
    <w:uiPriority w:val="34"/>
    <w:qFormat/>
    <w:rsid w:val="004052D9"/>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9A576A"/>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anormal"/>
    <w:next w:val="Tablaconcuadrcula"/>
    <w:uiPriority w:val="39"/>
    <w:qFormat/>
    <w:rsid w:val="00B9563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52D9"/>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AFCorNNormal">
    <w:name w:val="AF_CorNNormal"/>
    <w:basedOn w:val="Normal"/>
    <w:unhideWhenUsed/>
    <w:rsid w:val="004052D9"/>
    <w:pPr>
      <w:jc w:val="left"/>
    </w:pPr>
  </w:style>
  <w:style w:type="paragraph" w:customStyle="1" w:styleId="AFCorNBold">
    <w:name w:val="AF_CorNBold"/>
    <w:basedOn w:val="AFCorNNormal"/>
    <w:next w:val="AFCorNNormal"/>
    <w:unhideWhenUsed/>
    <w:qFormat/>
    <w:rsid w:val="004052D9"/>
    <w:rPr>
      <w:b/>
    </w:rPr>
  </w:style>
  <w:style w:type="paragraph" w:customStyle="1" w:styleId="AFCorN12Bold">
    <w:name w:val="AF_CorN12Bold"/>
    <w:basedOn w:val="AFCorNNormal"/>
    <w:next w:val="AFCorNNormal"/>
    <w:unhideWhenUsed/>
    <w:qFormat/>
    <w:rsid w:val="004052D9"/>
    <w:rPr>
      <w:b/>
      <w:sz w:val="24"/>
    </w:rPr>
  </w:style>
  <w:style w:type="paragraph" w:customStyle="1" w:styleId="DarkList-Accent31">
    <w:name w:val="Dark List - Accent 31"/>
    <w:hidden/>
    <w:uiPriority w:val="99"/>
    <w:semiHidden/>
    <w:rsid w:val="004052D9"/>
    <w:pPr>
      <w:spacing w:after="0" w:line="240" w:lineRule="auto"/>
    </w:pPr>
    <w:rPr>
      <w:rFonts w:ascii="Times New Roman" w:eastAsia="SimSun" w:hAnsi="Times New Roman" w:cs="Times New Roman"/>
      <w:kern w:val="0"/>
      <w:lang w:eastAsia="en-GB"/>
      <w14:ligatures w14:val="none"/>
    </w:rPr>
  </w:style>
  <w:style w:type="paragraph" w:styleId="TDC1">
    <w:name w:val="toc 1"/>
    <w:basedOn w:val="CBDNormal"/>
    <w:next w:val="Normal"/>
    <w:autoRedefine/>
    <w:uiPriority w:val="39"/>
    <w:unhideWhenUsed/>
    <w:rsid w:val="004052D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4052D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4052D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4052D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DC9">
    <w:name w:val="toc 9"/>
    <w:basedOn w:val="Normal"/>
    <w:next w:val="Normal"/>
    <w:autoRedefine/>
    <w:semiHidden/>
    <w:rsid w:val="004052D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Textodeglobo">
    <w:name w:val="Balloon Text"/>
    <w:basedOn w:val="Normal"/>
    <w:link w:val="TextodegloboCar"/>
    <w:uiPriority w:val="99"/>
    <w:semiHidden/>
    <w:unhideWhenUsed/>
    <w:rsid w:val="002E72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725F"/>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2E725F"/>
  </w:style>
  <w:style w:type="paragraph" w:styleId="Textodebloque">
    <w:name w:val="Block Text"/>
    <w:basedOn w:val="Normal"/>
    <w:uiPriority w:val="99"/>
    <w:semiHidden/>
    <w:unhideWhenUsed/>
    <w:rsid w:val="002E7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2E725F"/>
    <w:pPr>
      <w:spacing w:after="120" w:line="480" w:lineRule="auto"/>
    </w:pPr>
  </w:style>
  <w:style w:type="character" w:customStyle="1" w:styleId="Textoindependiente2Car">
    <w:name w:val="Texto independiente 2 Car"/>
    <w:basedOn w:val="Fuentedeprrafopredeter"/>
    <w:link w:val="Textoindependiente2"/>
    <w:uiPriority w:val="99"/>
    <w:semiHidden/>
    <w:rsid w:val="002E725F"/>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2E725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E725F"/>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2E725F"/>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2E725F"/>
    <w:rPr>
      <w:rFonts w:ascii="Times New Roman" w:eastAsia="SimSun" w:hAnsi="Times New Roman" w:cs="Times New Roman"/>
      <w:kern w:val="0"/>
      <w:lang w:val="es-ES"/>
      <w14:ligatures w14:val="none"/>
    </w:rPr>
  </w:style>
  <w:style w:type="paragraph" w:styleId="Sangradetextonormal">
    <w:name w:val="Body Text Indent"/>
    <w:basedOn w:val="Normal"/>
    <w:link w:val="SangradetextonormalCar"/>
    <w:uiPriority w:val="99"/>
    <w:semiHidden/>
    <w:unhideWhenUsed/>
    <w:rsid w:val="002E725F"/>
    <w:pPr>
      <w:spacing w:after="120"/>
      <w:ind w:left="360"/>
    </w:pPr>
  </w:style>
  <w:style w:type="character" w:customStyle="1" w:styleId="SangradetextonormalCar">
    <w:name w:val="Sangría de texto normal Car"/>
    <w:basedOn w:val="Fuentedeprrafopredeter"/>
    <w:link w:val="Sangradetextonormal"/>
    <w:uiPriority w:val="99"/>
    <w:semiHidden/>
    <w:rsid w:val="002E725F"/>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2E725F"/>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E725F"/>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2E725F"/>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2E725F"/>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2E725F"/>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2E725F"/>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2E725F"/>
    <w:rPr>
      <w:b/>
      <w:bCs/>
      <w:i/>
      <w:iCs/>
      <w:spacing w:val="5"/>
      <w:lang w:val="es-ES"/>
    </w:rPr>
  </w:style>
  <w:style w:type="paragraph" w:styleId="Descripcin">
    <w:name w:val="caption"/>
    <w:basedOn w:val="Normal"/>
    <w:next w:val="Normal"/>
    <w:uiPriority w:val="35"/>
    <w:semiHidden/>
    <w:unhideWhenUsed/>
    <w:qFormat/>
    <w:rsid w:val="002E725F"/>
    <w:pPr>
      <w:spacing w:after="200"/>
    </w:pPr>
    <w:rPr>
      <w:i/>
      <w:iCs/>
      <w:color w:val="44546A" w:themeColor="text2"/>
      <w:sz w:val="18"/>
      <w:szCs w:val="18"/>
    </w:rPr>
  </w:style>
  <w:style w:type="paragraph" w:styleId="Cierre">
    <w:name w:val="Closing"/>
    <w:basedOn w:val="Normal"/>
    <w:link w:val="CierreCar"/>
    <w:uiPriority w:val="99"/>
    <w:semiHidden/>
    <w:unhideWhenUsed/>
    <w:rsid w:val="002E725F"/>
    <w:pPr>
      <w:ind w:left="4320"/>
    </w:pPr>
  </w:style>
  <w:style w:type="character" w:customStyle="1" w:styleId="CierreCar">
    <w:name w:val="Cierre Car"/>
    <w:basedOn w:val="Fuentedeprrafopredeter"/>
    <w:link w:val="Cierre"/>
    <w:uiPriority w:val="99"/>
    <w:semiHidden/>
    <w:rsid w:val="002E725F"/>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2E72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2E725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2E725F"/>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2E725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2E725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2E725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2E725F"/>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2E725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2E725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2E725F"/>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2E725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2E725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2E725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2E725F"/>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2E725F"/>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E725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2E725F"/>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2E725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2E725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2E725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2E725F"/>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2E725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2E725F"/>
  </w:style>
  <w:style w:type="character" w:customStyle="1" w:styleId="FechaCar">
    <w:name w:val="Fecha Car"/>
    <w:basedOn w:val="Fuentedeprrafopredeter"/>
    <w:link w:val="Fecha"/>
    <w:uiPriority w:val="99"/>
    <w:semiHidden/>
    <w:rsid w:val="002E725F"/>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2E725F"/>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E725F"/>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2E725F"/>
  </w:style>
  <w:style w:type="character" w:customStyle="1" w:styleId="FirmadecorreoelectrnicoCar">
    <w:name w:val="Firma de correo electrónico Car"/>
    <w:basedOn w:val="Fuentedeprrafopredeter"/>
    <w:link w:val="Firmadecorreoelectrnico"/>
    <w:uiPriority w:val="99"/>
    <w:semiHidden/>
    <w:rsid w:val="002E725F"/>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2E725F"/>
    <w:rPr>
      <w:i/>
      <w:iCs/>
      <w:lang w:val="es-ES"/>
    </w:rPr>
  </w:style>
  <w:style w:type="character" w:styleId="Refdenotaalfinal">
    <w:name w:val="endnote reference"/>
    <w:basedOn w:val="Fuentedeprrafopredeter"/>
    <w:uiPriority w:val="99"/>
    <w:semiHidden/>
    <w:unhideWhenUsed/>
    <w:rsid w:val="002E725F"/>
    <w:rPr>
      <w:vertAlign w:val="superscript"/>
      <w:lang w:val="es-ES"/>
    </w:rPr>
  </w:style>
  <w:style w:type="paragraph" w:styleId="Textonotaalfinal">
    <w:name w:val="endnote text"/>
    <w:basedOn w:val="Normal"/>
    <w:link w:val="TextonotaalfinalCar"/>
    <w:uiPriority w:val="99"/>
    <w:semiHidden/>
    <w:unhideWhenUsed/>
    <w:rsid w:val="002E725F"/>
    <w:rPr>
      <w:sz w:val="20"/>
      <w:szCs w:val="20"/>
    </w:rPr>
  </w:style>
  <w:style w:type="character" w:customStyle="1" w:styleId="TextonotaalfinalCar">
    <w:name w:val="Texto nota al final Car"/>
    <w:basedOn w:val="Fuentedeprrafopredeter"/>
    <w:link w:val="Textonotaalfinal"/>
    <w:uiPriority w:val="99"/>
    <w:semiHidden/>
    <w:rsid w:val="002E725F"/>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2E72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2E725F"/>
    <w:rPr>
      <w:rFonts w:asciiTheme="majorHAnsi" w:eastAsiaTheme="majorEastAsia" w:hAnsiTheme="majorHAnsi" w:cstheme="majorBidi"/>
      <w:sz w:val="20"/>
      <w:szCs w:val="20"/>
    </w:rPr>
  </w:style>
  <w:style w:type="character" w:styleId="Hipervnculovisitado">
    <w:name w:val="FollowedHyperlink"/>
    <w:basedOn w:val="Fuentedeprrafopredeter"/>
    <w:uiPriority w:val="99"/>
    <w:semiHidden/>
    <w:unhideWhenUsed/>
    <w:rsid w:val="002E725F"/>
    <w:rPr>
      <w:color w:val="954F72" w:themeColor="followedHyperlink"/>
      <w:u w:val="single"/>
      <w:lang w:val="es-ES"/>
    </w:rPr>
  </w:style>
  <w:style w:type="table" w:styleId="Tablaconcuadrcula1clara">
    <w:name w:val="Grid Table 1 Light"/>
    <w:basedOn w:val="Tablanormal"/>
    <w:uiPriority w:val="46"/>
    <w:rsid w:val="002E72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2E725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2E725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2E725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2E725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2E725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2E725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2E725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2E725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2E725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2E725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2E725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2E725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2E725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2E72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2E72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2E72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2E72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2E72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2E72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2E72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2E72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2E72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2E72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2E72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2E72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2E72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2E72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2E7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2E72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2E725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2E725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2E725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2E725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2E725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2E725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2E72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2E725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2E725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2E725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2E725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2E725F"/>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2E725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2E725F"/>
    <w:rPr>
      <w:color w:val="2B579A"/>
      <w:shd w:val="clear" w:color="auto" w:fill="E1DFDD"/>
      <w:lang w:val="es-ES"/>
    </w:rPr>
  </w:style>
  <w:style w:type="character" w:styleId="AcrnimoHTML">
    <w:name w:val="HTML Acronym"/>
    <w:basedOn w:val="Fuentedeprrafopredeter"/>
    <w:uiPriority w:val="99"/>
    <w:semiHidden/>
    <w:unhideWhenUsed/>
    <w:rsid w:val="002E725F"/>
    <w:rPr>
      <w:lang w:val="es-ES"/>
    </w:rPr>
  </w:style>
  <w:style w:type="paragraph" w:styleId="DireccinHTML">
    <w:name w:val="HTML Address"/>
    <w:basedOn w:val="Normal"/>
    <w:link w:val="DireccinHTMLCar"/>
    <w:uiPriority w:val="99"/>
    <w:semiHidden/>
    <w:unhideWhenUsed/>
    <w:rsid w:val="002E725F"/>
    <w:rPr>
      <w:i/>
      <w:iCs/>
    </w:rPr>
  </w:style>
  <w:style w:type="character" w:customStyle="1" w:styleId="DireccinHTMLCar">
    <w:name w:val="Dirección HTML Car"/>
    <w:basedOn w:val="Fuentedeprrafopredeter"/>
    <w:link w:val="DireccinHTML"/>
    <w:uiPriority w:val="99"/>
    <w:semiHidden/>
    <w:rsid w:val="002E725F"/>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2E725F"/>
    <w:rPr>
      <w:i/>
      <w:iCs/>
      <w:lang w:val="es-ES"/>
    </w:rPr>
  </w:style>
  <w:style w:type="character" w:styleId="CdigoHTML">
    <w:name w:val="HTML Code"/>
    <w:basedOn w:val="Fuentedeprrafopredeter"/>
    <w:uiPriority w:val="99"/>
    <w:semiHidden/>
    <w:unhideWhenUsed/>
    <w:rsid w:val="002E725F"/>
    <w:rPr>
      <w:rFonts w:ascii="Consolas" w:hAnsi="Consolas"/>
      <w:sz w:val="20"/>
      <w:szCs w:val="20"/>
      <w:lang w:val="es-ES"/>
    </w:rPr>
  </w:style>
  <w:style w:type="character" w:styleId="DefinicinHTML">
    <w:name w:val="HTML Definition"/>
    <w:basedOn w:val="Fuentedeprrafopredeter"/>
    <w:uiPriority w:val="99"/>
    <w:semiHidden/>
    <w:unhideWhenUsed/>
    <w:rsid w:val="002E725F"/>
    <w:rPr>
      <w:i/>
      <w:iCs/>
      <w:lang w:val="es-ES"/>
    </w:rPr>
  </w:style>
  <w:style w:type="character" w:styleId="TecladoHTML">
    <w:name w:val="HTML Keyboard"/>
    <w:basedOn w:val="Fuentedeprrafopredeter"/>
    <w:uiPriority w:val="99"/>
    <w:semiHidden/>
    <w:unhideWhenUsed/>
    <w:rsid w:val="002E725F"/>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2E725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2E725F"/>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2E725F"/>
    <w:rPr>
      <w:rFonts w:ascii="Consolas" w:hAnsi="Consolas"/>
      <w:sz w:val="24"/>
      <w:szCs w:val="24"/>
      <w:lang w:val="es-ES"/>
    </w:rPr>
  </w:style>
  <w:style w:type="character" w:styleId="MquinadeescribirHTML">
    <w:name w:val="HTML Typewriter"/>
    <w:basedOn w:val="Fuentedeprrafopredeter"/>
    <w:uiPriority w:val="99"/>
    <w:semiHidden/>
    <w:unhideWhenUsed/>
    <w:rsid w:val="002E725F"/>
    <w:rPr>
      <w:rFonts w:ascii="Consolas" w:hAnsi="Consolas"/>
      <w:sz w:val="20"/>
      <w:szCs w:val="20"/>
      <w:lang w:val="es-ES"/>
    </w:rPr>
  </w:style>
  <w:style w:type="character" w:styleId="VariableHTML">
    <w:name w:val="HTML Variable"/>
    <w:basedOn w:val="Fuentedeprrafopredeter"/>
    <w:uiPriority w:val="99"/>
    <w:semiHidden/>
    <w:unhideWhenUsed/>
    <w:rsid w:val="002E725F"/>
    <w:rPr>
      <w:i/>
      <w:iCs/>
      <w:lang w:val="es-ES"/>
    </w:rPr>
  </w:style>
  <w:style w:type="paragraph" w:styleId="ndice1">
    <w:name w:val="index 1"/>
    <w:basedOn w:val="Normal"/>
    <w:next w:val="Normal"/>
    <w:autoRedefine/>
    <w:uiPriority w:val="99"/>
    <w:semiHidden/>
    <w:unhideWhenUsed/>
    <w:rsid w:val="002E725F"/>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2E725F"/>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2E725F"/>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2E725F"/>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2E725F"/>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2E725F"/>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2E725F"/>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2E725F"/>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2E725F"/>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2E725F"/>
    <w:rPr>
      <w:rFonts w:asciiTheme="majorHAnsi" w:eastAsiaTheme="majorEastAsia" w:hAnsiTheme="majorHAnsi" w:cstheme="majorBidi"/>
      <w:b/>
      <w:bCs/>
    </w:rPr>
  </w:style>
  <w:style w:type="character" w:styleId="nfasisintenso">
    <w:name w:val="Intense Emphasis"/>
    <w:basedOn w:val="Fuentedeprrafopredeter"/>
    <w:uiPriority w:val="21"/>
    <w:qFormat/>
    <w:rsid w:val="002E725F"/>
    <w:rPr>
      <w:i/>
      <w:iCs/>
      <w:color w:val="4472C4" w:themeColor="accent1"/>
      <w:lang w:val="es-ES"/>
    </w:rPr>
  </w:style>
  <w:style w:type="paragraph" w:styleId="Citadestacada">
    <w:name w:val="Intense Quote"/>
    <w:basedOn w:val="Normal"/>
    <w:next w:val="Normal"/>
    <w:link w:val="CitadestacadaCar"/>
    <w:uiPriority w:val="30"/>
    <w:qFormat/>
    <w:rsid w:val="002E7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2E725F"/>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2E725F"/>
    <w:rPr>
      <w:b/>
      <w:bCs/>
      <w:smallCaps/>
      <w:color w:val="4472C4" w:themeColor="accent1"/>
      <w:spacing w:val="5"/>
      <w:lang w:val="es-ES"/>
    </w:rPr>
  </w:style>
  <w:style w:type="table" w:styleId="Cuadrculaclara">
    <w:name w:val="Light Grid"/>
    <w:basedOn w:val="Tablanormal"/>
    <w:uiPriority w:val="62"/>
    <w:semiHidden/>
    <w:unhideWhenUsed/>
    <w:rsid w:val="002E72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2E725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2E725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2E725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2E725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2E725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2E725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2E72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2E725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2E725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2E725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2E725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2E725F"/>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2E725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2E72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2E725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2E725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2E725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2E725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2E725F"/>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2E725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2E725F"/>
    <w:rPr>
      <w:lang w:val="es-ES"/>
    </w:rPr>
  </w:style>
  <w:style w:type="paragraph" w:styleId="Lista2">
    <w:name w:val="List 2"/>
    <w:basedOn w:val="Normal"/>
    <w:uiPriority w:val="99"/>
    <w:semiHidden/>
    <w:unhideWhenUsed/>
    <w:rsid w:val="002E725F"/>
    <w:pPr>
      <w:ind w:left="720" w:hanging="360"/>
      <w:contextualSpacing/>
    </w:pPr>
  </w:style>
  <w:style w:type="paragraph" w:styleId="Lista3">
    <w:name w:val="List 3"/>
    <w:basedOn w:val="Normal"/>
    <w:uiPriority w:val="99"/>
    <w:semiHidden/>
    <w:unhideWhenUsed/>
    <w:rsid w:val="002E725F"/>
    <w:pPr>
      <w:ind w:left="1080" w:hanging="360"/>
      <w:contextualSpacing/>
    </w:pPr>
  </w:style>
  <w:style w:type="paragraph" w:styleId="Lista4">
    <w:name w:val="List 4"/>
    <w:basedOn w:val="Normal"/>
    <w:uiPriority w:val="99"/>
    <w:semiHidden/>
    <w:unhideWhenUsed/>
    <w:rsid w:val="002E725F"/>
    <w:pPr>
      <w:ind w:left="1440" w:hanging="360"/>
      <w:contextualSpacing/>
    </w:pPr>
  </w:style>
  <w:style w:type="paragraph" w:styleId="Lista5">
    <w:name w:val="List 5"/>
    <w:basedOn w:val="Normal"/>
    <w:uiPriority w:val="99"/>
    <w:semiHidden/>
    <w:unhideWhenUsed/>
    <w:rsid w:val="002E725F"/>
    <w:pPr>
      <w:ind w:left="1800" w:hanging="360"/>
      <w:contextualSpacing/>
    </w:pPr>
  </w:style>
  <w:style w:type="paragraph" w:styleId="Listaconvietas">
    <w:name w:val="List Bullet"/>
    <w:basedOn w:val="Normal"/>
    <w:uiPriority w:val="99"/>
    <w:semiHidden/>
    <w:unhideWhenUsed/>
    <w:rsid w:val="002E725F"/>
    <w:pPr>
      <w:tabs>
        <w:tab w:val="num" w:pos="360"/>
      </w:tabs>
      <w:ind w:left="360" w:hanging="360"/>
      <w:contextualSpacing/>
    </w:pPr>
  </w:style>
  <w:style w:type="paragraph" w:styleId="Listaconvietas2">
    <w:name w:val="List Bullet 2"/>
    <w:basedOn w:val="Normal"/>
    <w:uiPriority w:val="99"/>
    <w:semiHidden/>
    <w:unhideWhenUsed/>
    <w:rsid w:val="002E725F"/>
    <w:pPr>
      <w:tabs>
        <w:tab w:val="num" w:pos="643"/>
      </w:tabs>
      <w:ind w:left="643" w:hanging="360"/>
      <w:contextualSpacing/>
    </w:pPr>
  </w:style>
  <w:style w:type="paragraph" w:styleId="Listaconvietas3">
    <w:name w:val="List Bullet 3"/>
    <w:basedOn w:val="Normal"/>
    <w:uiPriority w:val="99"/>
    <w:semiHidden/>
    <w:unhideWhenUsed/>
    <w:rsid w:val="002E725F"/>
    <w:pPr>
      <w:tabs>
        <w:tab w:val="num" w:pos="926"/>
      </w:tabs>
      <w:ind w:left="926" w:hanging="360"/>
      <w:contextualSpacing/>
    </w:pPr>
  </w:style>
  <w:style w:type="paragraph" w:styleId="Listaconvietas4">
    <w:name w:val="List Bullet 4"/>
    <w:basedOn w:val="Normal"/>
    <w:uiPriority w:val="99"/>
    <w:semiHidden/>
    <w:unhideWhenUsed/>
    <w:rsid w:val="002E725F"/>
    <w:pPr>
      <w:tabs>
        <w:tab w:val="num" w:pos="1209"/>
      </w:tabs>
      <w:ind w:left="1209" w:hanging="360"/>
      <w:contextualSpacing/>
    </w:pPr>
  </w:style>
  <w:style w:type="paragraph" w:styleId="Listaconvietas5">
    <w:name w:val="List Bullet 5"/>
    <w:basedOn w:val="Normal"/>
    <w:uiPriority w:val="99"/>
    <w:semiHidden/>
    <w:unhideWhenUsed/>
    <w:rsid w:val="002E725F"/>
    <w:pPr>
      <w:tabs>
        <w:tab w:val="num" w:pos="1492"/>
      </w:tabs>
      <w:ind w:left="1492" w:hanging="360"/>
      <w:contextualSpacing/>
    </w:pPr>
  </w:style>
  <w:style w:type="paragraph" w:styleId="Continuarlista">
    <w:name w:val="List Continue"/>
    <w:basedOn w:val="Normal"/>
    <w:uiPriority w:val="99"/>
    <w:semiHidden/>
    <w:unhideWhenUsed/>
    <w:rsid w:val="002E725F"/>
    <w:pPr>
      <w:spacing w:after="120"/>
      <w:ind w:left="360"/>
      <w:contextualSpacing/>
    </w:pPr>
  </w:style>
  <w:style w:type="paragraph" w:styleId="Continuarlista2">
    <w:name w:val="List Continue 2"/>
    <w:basedOn w:val="Normal"/>
    <w:uiPriority w:val="99"/>
    <w:semiHidden/>
    <w:unhideWhenUsed/>
    <w:rsid w:val="002E725F"/>
    <w:pPr>
      <w:spacing w:after="120"/>
      <w:ind w:left="720"/>
      <w:contextualSpacing/>
    </w:pPr>
  </w:style>
  <w:style w:type="paragraph" w:styleId="Continuarlista3">
    <w:name w:val="List Continue 3"/>
    <w:basedOn w:val="Normal"/>
    <w:uiPriority w:val="99"/>
    <w:semiHidden/>
    <w:unhideWhenUsed/>
    <w:rsid w:val="002E725F"/>
    <w:pPr>
      <w:spacing w:after="120"/>
      <w:ind w:left="1080"/>
      <w:contextualSpacing/>
    </w:pPr>
  </w:style>
  <w:style w:type="paragraph" w:styleId="Continuarlista4">
    <w:name w:val="List Continue 4"/>
    <w:basedOn w:val="Normal"/>
    <w:uiPriority w:val="99"/>
    <w:semiHidden/>
    <w:unhideWhenUsed/>
    <w:rsid w:val="002E725F"/>
    <w:pPr>
      <w:spacing w:after="120"/>
      <w:ind w:left="1440"/>
      <w:contextualSpacing/>
    </w:pPr>
  </w:style>
  <w:style w:type="paragraph" w:styleId="Continuarlista5">
    <w:name w:val="List Continue 5"/>
    <w:basedOn w:val="Normal"/>
    <w:uiPriority w:val="99"/>
    <w:semiHidden/>
    <w:unhideWhenUsed/>
    <w:rsid w:val="002E725F"/>
    <w:pPr>
      <w:spacing w:after="120"/>
      <w:ind w:left="1800"/>
      <w:contextualSpacing/>
    </w:pPr>
  </w:style>
  <w:style w:type="paragraph" w:styleId="Listaconnmeros">
    <w:name w:val="List Number"/>
    <w:basedOn w:val="Normal"/>
    <w:uiPriority w:val="99"/>
    <w:semiHidden/>
    <w:unhideWhenUsed/>
    <w:rsid w:val="002E725F"/>
    <w:pPr>
      <w:tabs>
        <w:tab w:val="num" w:pos="360"/>
      </w:tabs>
      <w:ind w:left="360" w:hanging="360"/>
      <w:contextualSpacing/>
    </w:pPr>
  </w:style>
  <w:style w:type="paragraph" w:styleId="Listaconnmeros2">
    <w:name w:val="List Number 2"/>
    <w:basedOn w:val="Normal"/>
    <w:uiPriority w:val="99"/>
    <w:semiHidden/>
    <w:unhideWhenUsed/>
    <w:rsid w:val="002E725F"/>
    <w:pPr>
      <w:tabs>
        <w:tab w:val="num" w:pos="643"/>
      </w:tabs>
      <w:ind w:left="643" w:hanging="360"/>
      <w:contextualSpacing/>
    </w:pPr>
  </w:style>
  <w:style w:type="paragraph" w:styleId="Listaconnmeros3">
    <w:name w:val="List Number 3"/>
    <w:basedOn w:val="Normal"/>
    <w:uiPriority w:val="99"/>
    <w:semiHidden/>
    <w:unhideWhenUsed/>
    <w:rsid w:val="002E725F"/>
    <w:pPr>
      <w:tabs>
        <w:tab w:val="num" w:pos="926"/>
      </w:tabs>
      <w:ind w:left="926" w:hanging="360"/>
      <w:contextualSpacing/>
    </w:pPr>
  </w:style>
  <w:style w:type="paragraph" w:styleId="Listaconnmeros4">
    <w:name w:val="List Number 4"/>
    <w:basedOn w:val="Normal"/>
    <w:uiPriority w:val="99"/>
    <w:semiHidden/>
    <w:unhideWhenUsed/>
    <w:rsid w:val="002E725F"/>
    <w:pPr>
      <w:tabs>
        <w:tab w:val="num" w:pos="1209"/>
      </w:tabs>
      <w:ind w:left="1209" w:hanging="360"/>
      <w:contextualSpacing/>
    </w:pPr>
  </w:style>
  <w:style w:type="paragraph" w:styleId="Listaconnmeros5">
    <w:name w:val="List Number 5"/>
    <w:basedOn w:val="Normal"/>
    <w:uiPriority w:val="99"/>
    <w:semiHidden/>
    <w:unhideWhenUsed/>
    <w:rsid w:val="002E725F"/>
    <w:pPr>
      <w:tabs>
        <w:tab w:val="num" w:pos="1800"/>
      </w:tabs>
      <w:ind w:left="1800" w:hanging="360"/>
      <w:contextualSpacing/>
    </w:pPr>
  </w:style>
  <w:style w:type="table" w:styleId="Tabladelista1clara">
    <w:name w:val="List Table 1 Light"/>
    <w:basedOn w:val="Tablanormal"/>
    <w:uiPriority w:val="46"/>
    <w:rsid w:val="002E725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2E725F"/>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2E725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2E725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2E725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2E725F"/>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2E725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2E725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2E725F"/>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2E725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2E725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2E725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2E725F"/>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2E725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2E725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2E725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2E725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2E725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2E725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2E725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2E725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2E72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2E72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2E725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2E72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2E725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2E72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2E72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2E725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2E725F"/>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2E725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2E725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2E725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2E725F"/>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2E725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2E725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2E725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2E725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2E725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2E725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2E725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2E725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2E725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2E725F"/>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2E725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2E725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2E725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2E725F"/>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2E725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2E72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2E725F"/>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2E72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2E725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2E725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2E725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2E725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2E725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2E725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2E72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2E725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2E725F"/>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2E725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2E725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2E725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2E725F"/>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2E725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2E72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2E72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2E725F"/>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2E725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2E725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2E725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2E725F"/>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2E725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2E72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2E725F"/>
    <w:rPr>
      <w:color w:val="2B579A"/>
      <w:shd w:val="clear" w:color="auto" w:fill="E1DFDD"/>
      <w:lang w:val="es-ES"/>
    </w:rPr>
  </w:style>
  <w:style w:type="paragraph" w:styleId="Encabezadodemensaje">
    <w:name w:val="Message Header"/>
    <w:basedOn w:val="Normal"/>
    <w:link w:val="EncabezadodemensajeCar"/>
    <w:uiPriority w:val="99"/>
    <w:semiHidden/>
    <w:unhideWhenUsed/>
    <w:rsid w:val="002E725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E725F"/>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2E725F"/>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2E725F"/>
    <w:rPr>
      <w:sz w:val="24"/>
      <w:szCs w:val="24"/>
    </w:rPr>
  </w:style>
  <w:style w:type="paragraph" w:styleId="Sangranormal">
    <w:name w:val="Normal Indent"/>
    <w:basedOn w:val="Normal"/>
    <w:uiPriority w:val="99"/>
    <w:semiHidden/>
    <w:unhideWhenUsed/>
    <w:rsid w:val="002E725F"/>
    <w:pPr>
      <w:ind w:left="720"/>
    </w:pPr>
  </w:style>
  <w:style w:type="paragraph" w:styleId="Encabezadodenota">
    <w:name w:val="Note Heading"/>
    <w:basedOn w:val="Normal"/>
    <w:next w:val="Normal"/>
    <w:link w:val="EncabezadodenotaCar"/>
    <w:uiPriority w:val="99"/>
    <w:semiHidden/>
    <w:unhideWhenUsed/>
    <w:rsid w:val="002E725F"/>
  </w:style>
  <w:style w:type="character" w:customStyle="1" w:styleId="EncabezadodenotaCar">
    <w:name w:val="Encabezado de nota Car"/>
    <w:basedOn w:val="Fuentedeprrafopredeter"/>
    <w:link w:val="Encabezadodenota"/>
    <w:uiPriority w:val="99"/>
    <w:semiHidden/>
    <w:rsid w:val="002E725F"/>
    <w:rPr>
      <w:rFonts w:ascii="Times New Roman" w:eastAsia="SimSun" w:hAnsi="Times New Roman" w:cs="Times New Roman"/>
      <w:kern w:val="0"/>
      <w:lang w:val="es-ES"/>
      <w14:ligatures w14:val="none"/>
    </w:rPr>
  </w:style>
  <w:style w:type="character" w:styleId="Nmerodepgina">
    <w:name w:val="page number"/>
    <w:basedOn w:val="Fuentedeprrafopredeter"/>
    <w:uiPriority w:val="99"/>
    <w:semiHidden/>
    <w:unhideWhenUsed/>
    <w:rsid w:val="002E725F"/>
    <w:rPr>
      <w:lang w:val="es-ES"/>
    </w:rPr>
  </w:style>
  <w:style w:type="table" w:styleId="Tablanormal1">
    <w:name w:val="Plain Table 1"/>
    <w:basedOn w:val="Tablanormal"/>
    <w:uiPriority w:val="41"/>
    <w:rsid w:val="002E72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2E72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2E725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2E72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2E72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2E725F"/>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2E725F"/>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2E725F"/>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2E725F"/>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2E725F"/>
  </w:style>
  <w:style w:type="character" w:customStyle="1" w:styleId="SaludoCar">
    <w:name w:val="Saludo Car"/>
    <w:basedOn w:val="Fuentedeprrafopredeter"/>
    <w:link w:val="Saludo"/>
    <w:uiPriority w:val="99"/>
    <w:semiHidden/>
    <w:rsid w:val="002E725F"/>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2E725F"/>
    <w:pPr>
      <w:ind w:left="4320"/>
    </w:pPr>
  </w:style>
  <w:style w:type="character" w:customStyle="1" w:styleId="FirmaCar">
    <w:name w:val="Firma Car"/>
    <w:basedOn w:val="Fuentedeprrafopredeter"/>
    <w:link w:val="Firma"/>
    <w:uiPriority w:val="99"/>
    <w:semiHidden/>
    <w:rsid w:val="002E725F"/>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2E725F"/>
    <w:rPr>
      <w:u w:val="dotted"/>
      <w:lang w:val="es-ES"/>
    </w:rPr>
  </w:style>
  <w:style w:type="character" w:styleId="SmartLink">
    <w:name w:val="Smart Link"/>
    <w:basedOn w:val="Fuentedeprrafopredeter"/>
    <w:uiPriority w:val="99"/>
    <w:semiHidden/>
    <w:unhideWhenUsed/>
    <w:rsid w:val="002E725F"/>
    <w:rPr>
      <w:color w:val="0000FF"/>
      <w:u w:val="single"/>
      <w:shd w:val="clear" w:color="auto" w:fill="F3F2F1"/>
      <w:lang w:val="es-ES"/>
    </w:rPr>
  </w:style>
  <w:style w:type="character" w:styleId="Textoennegrita">
    <w:name w:val="Strong"/>
    <w:basedOn w:val="Fuentedeprrafopredeter"/>
    <w:uiPriority w:val="22"/>
    <w:qFormat/>
    <w:rsid w:val="002E725F"/>
    <w:rPr>
      <w:b/>
      <w:bCs/>
      <w:lang w:val="es-ES"/>
    </w:rPr>
  </w:style>
  <w:style w:type="character" w:styleId="nfasissutil">
    <w:name w:val="Subtle Emphasis"/>
    <w:basedOn w:val="Fuentedeprrafopredeter"/>
    <w:uiPriority w:val="19"/>
    <w:qFormat/>
    <w:rsid w:val="002E725F"/>
    <w:rPr>
      <w:i/>
      <w:iCs/>
      <w:color w:val="404040" w:themeColor="text1" w:themeTint="BF"/>
      <w:lang w:val="es-ES"/>
    </w:rPr>
  </w:style>
  <w:style w:type="character" w:styleId="Referenciasutil">
    <w:name w:val="Subtle Reference"/>
    <w:basedOn w:val="Fuentedeprrafopredeter"/>
    <w:uiPriority w:val="31"/>
    <w:qFormat/>
    <w:rsid w:val="002E725F"/>
    <w:rPr>
      <w:smallCaps/>
      <w:color w:val="5A5A5A" w:themeColor="text1" w:themeTint="A5"/>
      <w:lang w:val="es-ES"/>
    </w:rPr>
  </w:style>
  <w:style w:type="table" w:styleId="Tablaconefectos3D1">
    <w:name w:val="Table 3D effects 1"/>
    <w:basedOn w:val="Tablanormal"/>
    <w:uiPriority w:val="99"/>
    <w:semiHidden/>
    <w:unhideWhenUsed/>
    <w:rsid w:val="002E725F"/>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2E725F"/>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2E725F"/>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2E725F"/>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2E725F"/>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2E725F"/>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2E725F"/>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2E725F"/>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2E725F"/>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2E725F"/>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2E725F"/>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2E725F"/>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2E725F"/>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2E725F"/>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2E72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2E725F"/>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2E725F"/>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2E725F"/>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2E725F"/>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2E725F"/>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2E725F"/>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2E725F"/>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2E725F"/>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2E725F"/>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2E725F"/>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2E725F"/>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2E725F"/>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2E725F"/>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cinsinresolver">
    <w:name w:val="Unresolved Mention"/>
    <w:basedOn w:val="Fuentedeprrafopredeter"/>
    <w:uiPriority w:val="99"/>
    <w:semiHidden/>
    <w:unhideWhenUsed/>
    <w:rsid w:val="002E725F"/>
    <w:rPr>
      <w:color w:val="605E5C"/>
      <w:shd w:val="clear" w:color="auto" w:fill="E1DFDD"/>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2/cop-12-dec-25-es.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pbes.net/transformative-chang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19-e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cop-14/cop-14-dec-36-es.pdf" TargetMode="External"/><Relationship Id="rId20" Type="http://schemas.openxmlformats.org/officeDocument/2006/relationships/hyperlink" Target="https://ipbes.net/transformative-chang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bd.int/doc/decisions/cop-12/cop-12-dec-25-es.pd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uments/CBD/SBSTTA/26/3/ADD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1/cop-11-dec-13-es.pdf" TargetMode="External"/><Relationship Id="rId22" Type="http://schemas.openxmlformats.org/officeDocument/2006/relationships/hyperlink" Target="https://ipbes.net/business-impact"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64DF302F9A49BB8F5EF1FF87767ACC"/>
        <w:category>
          <w:name w:val="General"/>
          <w:gallery w:val="placeholder"/>
        </w:category>
        <w:types>
          <w:type w:val="bbPlcHdr"/>
        </w:types>
        <w:behaviors>
          <w:behavior w:val="content"/>
        </w:behaviors>
        <w:guid w:val="{14CD8DD1-82A1-414C-A232-B88472418AB9}"/>
      </w:docPartPr>
      <w:docPartBody>
        <w:p w:rsidR="00400F55" w:rsidRDefault="00B33D62" w:rsidP="00B33D62">
          <w:pPr>
            <w:pStyle w:val="AE64DF302F9A49BB8F5EF1FF87767ACC"/>
          </w:pPr>
          <w:r w:rsidRPr="00302849">
            <w:rPr>
              <w:rStyle w:val="Textodelmarcadordeposicin"/>
            </w:rPr>
            <w:t>General</w:t>
          </w:r>
        </w:p>
      </w:docPartBody>
    </w:docPart>
    <w:docPart>
      <w:docPartPr>
        <w:name w:val="FC8EE888608343F291C6652C662C6392"/>
        <w:category>
          <w:name w:val="General"/>
          <w:gallery w:val="placeholder"/>
        </w:category>
        <w:types>
          <w:type w:val="bbPlcHdr"/>
        </w:types>
        <w:behaviors>
          <w:behavior w:val="content"/>
        </w:behaviors>
        <w:guid w:val="{B04CD707-B343-4384-88AF-A36831B0D1DD}"/>
      </w:docPartPr>
      <w:docPartBody>
        <w:p w:rsidR="00400F55" w:rsidRDefault="00B33D62" w:rsidP="00B33D62">
          <w:pPr>
            <w:pStyle w:val="FC8EE888608343F291C6652C662C6392"/>
          </w:pPr>
          <w:r w:rsidRPr="00302849">
            <w:rPr>
              <w:rStyle w:val="Textodelmarcadordeposicin"/>
            </w:rPr>
            <w:t>[Date]</w:t>
          </w:r>
        </w:p>
      </w:docPartBody>
    </w:docPart>
    <w:docPart>
      <w:docPartPr>
        <w:name w:val="5AA19B650CC542E4BA36549C0E061153"/>
        <w:category>
          <w:name w:val="General"/>
          <w:gallery w:val="placeholder"/>
        </w:category>
        <w:types>
          <w:type w:val="bbPlcHdr"/>
        </w:types>
        <w:behaviors>
          <w:behavior w:val="content"/>
        </w:behaviors>
        <w:guid w:val="{BBBB76D3-A394-4F54-8164-FEE4B52E8CDE}"/>
      </w:docPartPr>
      <w:docPartBody>
        <w:p w:rsidR="00400F55" w:rsidRDefault="00B33D62" w:rsidP="00B33D62">
          <w:pPr>
            <w:pStyle w:val="5AA19B650CC542E4BA36549C0E061153"/>
          </w:pPr>
          <w:r w:rsidRPr="00302849">
            <w:rPr>
              <w:rStyle w:val="Textodelmarcadordeposicin"/>
            </w:rPr>
            <w:t xml:space="preserve">[Language </w:t>
          </w:r>
          <w:r w:rsidRPr="00302849">
            <w:rPr>
              <w:rStyle w:val="Textodelmarcadordeposicin"/>
            </w:rPr>
            <w:br/>
            <w:t xml:space="preserve">Original: Language(s) </w:t>
          </w:r>
          <w:r w:rsidRPr="00302849">
            <w:rPr>
              <w:rStyle w:val="Textodelmarcadordeposicin"/>
            </w:rPr>
            <w:br/>
            <w:t>Languages]</w:t>
          </w:r>
        </w:p>
      </w:docPartBody>
    </w:docPart>
    <w:docPart>
      <w:docPartPr>
        <w:name w:val="70D2BC74A51341259F14E71903C56BFB"/>
        <w:category>
          <w:name w:val="General"/>
          <w:gallery w:val="placeholder"/>
        </w:category>
        <w:types>
          <w:type w:val="bbPlcHdr"/>
        </w:types>
        <w:behaviors>
          <w:behavior w:val="content"/>
        </w:behaviors>
        <w:guid w:val="{FC6E1DCE-4F3E-4BB7-8E1B-218F0E1745F4}"/>
      </w:docPartPr>
      <w:docPartBody>
        <w:p w:rsidR="00400F55" w:rsidRDefault="00B33D62" w:rsidP="00B33D62">
          <w:pPr>
            <w:pStyle w:val="70D2BC74A51341259F14E71903C56BFB"/>
          </w:pPr>
          <w:r w:rsidRPr="00302849">
            <w:rPr>
              <w:rStyle w:val="Textodelmarcadordeposicin"/>
            </w:rPr>
            <w:t>Meeting name (part 1)</w:t>
          </w:r>
        </w:p>
      </w:docPartBody>
    </w:docPart>
    <w:docPart>
      <w:docPartPr>
        <w:name w:val="26F59BD29C6946628375F12066BEFD07"/>
        <w:category>
          <w:name w:val="General"/>
          <w:gallery w:val="placeholder"/>
        </w:category>
        <w:types>
          <w:type w:val="bbPlcHdr"/>
        </w:types>
        <w:behaviors>
          <w:behavior w:val="content"/>
        </w:behaviors>
        <w:guid w:val="{01F1FABB-2844-4D9E-8E21-63DABABB5902}"/>
      </w:docPartPr>
      <w:docPartBody>
        <w:p w:rsidR="00400F55" w:rsidRDefault="00B33D62" w:rsidP="00B33D62">
          <w:pPr>
            <w:pStyle w:val="26F59BD29C6946628375F12066BEFD07"/>
          </w:pPr>
          <w:r w:rsidRPr="00302849">
            <w:rPr>
              <w:rStyle w:val="Textodelmarcadordeposicin"/>
            </w:rPr>
            <w:t>Meeting name (part 2)</w:t>
          </w:r>
        </w:p>
      </w:docPartBody>
    </w:docPart>
    <w:docPart>
      <w:docPartPr>
        <w:name w:val="F127FEB1C822420FA8A137FF5AB679E5"/>
        <w:category>
          <w:name w:val="General"/>
          <w:gallery w:val="placeholder"/>
        </w:category>
        <w:types>
          <w:type w:val="bbPlcHdr"/>
        </w:types>
        <w:behaviors>
          <w:behavior w:val="content"/>
        </w:behaviors>
        <w:guid w:val="{A6EB3ED5-B971-406C-8908-BA021452D5F6}"/>
      </w:docPartPr>
      <w:docPartBody>
        <w:p w:rsidR="00400F55" w:rsidRDefault="00B33D62" w:rsidP="00B33D62">
          <w:pPr>
            <w:pStyle w:val="F127FEB1C822420FA8A137FF5AB679E5"/>
          </w:pPr>
          <w:r w:rsidRPr="00302849">
            <w:rPr>
              <w:rStyle w:val="Textodelmarcadordeposicin"/>
            </w:rPr>
            <w:t>[Venue, date]</w:t>
          </w:r>
        </w:p>
      </w:docPartBody>
    </w:docPart>
    <w:docPart>
      <w:docPartPr>
        <w:name w:val="5B1361C23E8A4306A32BEFFD10E3B6BC"/>
        <w:category>
          <w:name w:val="General"/>
          <w:gallery w:val="placeholder"/>
        </w:category>
        <w:types>
          <w:type w:val="bbPlcHdr"/>
        </w:types>
        <w:behaviors>
          <w:behavior w:val="content"/>
        </w:behaviors>
        <w:guid w:val="{5E302065-755C-41B5-9453-1F831C013D61}"/>
      </w:docPartPr>
      <w:docPartBody>
        <w:p w:rsidR="00400F55" w:rsidRDefault="00B33D62" w:rsidP="00B33D62">
          <w:pPr>
            <w:pStyle w:val="5B1361C23E8A4306A32BEFFD10E3B6BC"/>
          </w:pPr>
          <w:r w:rsidRPr="00302849">
            <w:rPr>
              <w:rStyle w:val="Textodelmarcadordeposicin"/>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D66A4"/>
    <w:rsid w:val="00195E34"/>
    <w:rsid w:val="00200345"/>
    <w:rsid w:val="00264480"/>
    <w:rsid w:val="002A19E6"/>
    <w:rsid w:val="002C32CD"/>
    <w:rsid w:val="002D1F36"/>
    <w:rsid w:val="00303F0B"/>
    <w:rsid w:val="00400F55"/>
    <w:rsid w:val="004446C7"/>
    <w:rsid w:val="00517921"/>
    <w:rsid w:val="005A3630"/>
    <w:rsid w:val="005D6145"/>
    <w:rsid w:val="005E1C5F"/>
    <w:rsid w:val="005F481C"/>
    <w:rsid w:val="006C1F96"/>
    <w:rsid w:val="007550E4"/>
    <w:rsid w:val="00764DF4"/>
    <w:rsid w:val="00811444"/>
    <w:rsid w:val="008551CA"/>
    <w:rsid w:val="00870F61"/>
    <w:rsid w:val="00894E9B"/>
    <w:rsid w:val="008D0AB1"/>
    <w:rsid w:val="00932F3A"/>
    <w:rsid w:val="009457AB"/>
    <w:rsid w:val="00984C06"/>
    <w:rsid w:val="009C6071"/>
    <w:rsid w:val="00B008B7"/>
    <w:rsid w:val="00B33D62"/>
    <w:rsid w:val="00B41BF6"/>
    <w:rsid w:val="00BA675E"/>
    <w:rsid w:val="00C35C06"/>
    <w:rsid w:val="00C77652"/>
    <w:rsid w:val="00DE0A51"/>
    <w:rsid w:val="00E44A51"/>
    <w:rsid w:val="00EF5675"/>
    <w:rsid w:val="00FC3C94"/>
    <w:rsid w:val="00FF3B4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3D62"/>
    <w:rPr>
      <w:color w:val="808080"/>
    </w:rPr>
  </w:style>
  <w:style w:type="paragraph" w:customStyle="1" w:styleId="AE64DF302F9A49BB8F5EF1FF87767ACC">
    <w:name w:val="AE64DF302F9A49BB8F5EF1FF87767ACC"/>
    <w:rsid w:val="00B33D62"/>
    <w:rPr>
      <w:lang w:val="en-US" w:eastAsia="zh-CN"/>
    </w:rPr>
  </w:style>
  <w:style w:type="paragraph" w:customStyle="1" w:styleId="FC8EE888608343F291C6652C662C6392">
    <w:name w:val="FC8EE888608343F291C6652C662C6392"/>
    <w:rsid w:val="00B33D62"/>
    <w:rPr>
      <w:lang w:val="en-US" w:eastAsia="zh-CN"/>
    </w:rPr>
  </w:style>
  <w:style w:type="paragraph" w:customStyle="1" w:styleId="5AA19B650CC542E4BA36549C0E061153">
    <w:name w:val="5AA19B650CC542E4BA36549C0E061153"/>
    <w:rsid w:val="00B33D62"/>
    <w:rPr>
      <w:lang w:val="en-US" w:eastAsia="zh-CN"/>
    </w:rPr>
  </w:style>
  <w:style w:type="paragraph" w:customStyle="1" w:styleId="70D2BC74A51341259F14E71903C56BFB">
    <w:name w:val="70D2BC74A51341259F14E71903C56BFB"/>
    <w:rsid w:val="00B33D62"/>
    <w:rPr>
      <w:lang w:val="en-US" w:eastAsia="zh-CN"/>
    </w:rPr>
  </w:style>
  <w:style w:type="paragraph" w:customStyle="1" w:styleId="26F59BD29C6946628375F12066BEFD07">
    <w:name w:val="26F59BD29C6946628375F12066BEFD07"/>
    <w:rsid w:val="00B33D62"/>
    <w:rPr>
      <w:lang w:val="en-US" w:eastAsia="zh-CN"/>
    </w:rPr>
  </w:style>
  <w:style w:type="paragraph" w:customStyle="1" w:styleId="F127FEB1C822420FA8A137FF5AB679E5">
    <w:name w:val="F127FEB1C822420FA8A137FF5AB679E5"/>
    <w:rsid w:val="00B33D62"/>
    <w:rPr>
      <w:lang w:val="en-US" w:eastAsia="zh-CN"/>
    </w:rPr>
  </w:style>
  <w:style w:type="paragraph" w:customStyle="1" w:styleId="5B1361C23E8A4306A32BEFFD10E3B6BC">
    <w:name w:val="5B1361C23E8A4306A32BEFFD10E3B6BC"/>
    <w:rsid w:val="00B33D62"/>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483F19D6-CC15-46B7-806F-E64C34FC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0E16C-85C1-49B4-A1C9-33D4ED5B426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48</TotalTime>
  <Pages>4</Pages>
  <Words>1609</Words>
  <Characters>8838</Characters>
  <Application>Microsoft Office Word</Application>
  <DocSecurity>0</DocSecurity>
  <Lines>327</Lines>
  <Paragraphs>227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on 1 November 2024</vt:lpstr>
      <vt:lpstr>Matters related to the work programme of the Intergovernmental Science-Policy Platform on Biodiversity and Ecosystem Services</vt:lpstr>
    </vt:vector>
  </TitlesOfParts>
  <Company/>
  <LinksUpToDate>false</LinksUpToDate>
  <CharactersWithSpaces>10220</CharactersWithSpaces>
  <SharedDoc>false</SharedDoc>
  <HLinks>
    <vt:vector size="24" baseType="variant">
      <vt:variant>
        <vt:i4>1048591</vt:i4>
      </vt:variant>
      <vt:variant>
        <vt:i4>9</vt:i4>
      </vt:variant>
      <vt:variant>
        <vt:i4>0</vt:i4>
      </vt:variant>
      <vt:variant>
        <vt:i4>5</vt:i4>
      </vt:variant>
      <vt:variant>
        <vt:lpwstr>https://ipbes.net/business-impact</vt:lpwstr>
      </vt:variant>
      <vt:variant>
        <vt:lpwstr/>
      </vt:variant>
      <vt:variant>
        <vt:i4>6291567</vt:i4>
      </vt:variant>
      <vt:variant>
        <vt:i4>6</vt:i4>
      </vt:variant>
      <vt:variant>
        <vt:i4>0</vt:i4>
      </vt:variant>
      <vt:variant>
        <vt:i4>5</vt:i4>
      </vt:variant>
      <vt:variant>
        <vt:lpwstr>https://ipbes.net/transformative-change</vt:lpwstr>
      </vt:variant>
      <vt:variant>
        <vt:lpwstr/>
      </vt:variant>
      <vt:variant>
        <vt:i4>7340084</vt:i4>
      </vt:variant>
      <vt:variant>
        <vt:i4>3</vt:i4>
      </vt:variant>
      <vt:variant>
        <vt:i4>0</vt:i4>
      </vt:variant>
      <vt:variant>
        <vt:i4>5</vt:i4>
      </vt:variant>
      <vt:variant>
        <vt:lpwstr>https://ipbes.net/nexus</vt:lpwstr>
      </vt:variant>
      <vt:variant>
        <vt:lpwstr/>
      </vt:variant>
      <vt:variant>
        <vt:i4>786510</vt:i4>
      </vt:variant>
      <vt:variant>
        <vt:i4>0</vt:i4>
      </vt:variant>
      <vt:variant>
        <vt:i4>0</vt:i4>
      </vt:variant>
      <vt:variant>
        <vt:i4>5</vt:i4>
      </vt:variant>
      <vt:variant>
        <vt:lpwstr>https://www.cbd.int/doc/decisions/cop-12/cop-12-dec-25-en.pdf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CBD/COP/DEC/16/11</dc:subject>
  <dc:creator>Secretariat of the Convention on Biological Diversity</dc:creator>
  <cp:keywords>Conference of the Parties to the Convention on Biological Diversity</cp:keywords>
  <dc:description/>
  <cp:lastModifiedBy>Maria Troitino</cp:lastModifiedBy>
  <cp:revision>4</cp:revision>
  <dcterms:created xsi:type="dcterms:W3CDTF">2025-03-11T21:22:00Z</dcterms:created>
  <dcterms:modified xsi:type="dcterms:W3CDTF">2025-03-13T02:01:00Z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y fmtid="{D5CDD505-2E9C-101B-9397-08002B2CF9AE}" pid="7" name="CBD-NoSymbol">
    <vt:lpwstr>1</vt:lpwstr>
  </property>
</Properties>
</file>