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66FF3" w:rsidRPr="0018137C" w:rsidTr="009756DC">
        <w:trPr>
          <w:trHeight w:val="709"/>
        </w:trPr>
        <w:tc>
          <w:tcPr>
            <w:tcW w:w="976" w:type="dxa"/>
            <w:tcBorders>
              <w:bottom w:val="single" w:sz="12" w:space="0" w:color="auto"/>
            </w:tcBorders>
          </w:tcPr>
          <w:p w:rsidR="00966FF3" w:rsidRPr="0018137C" w:rsidRDefault="00966FF3" w:rsidP="009756DC">
            <w:pPr>
              <w:rPr>
                <w:kern w:val="22"/>
                <w:lang w:val="es-419"/>
              </w:rPr>
            </w:pPr>
            <w:r w:rsidRPr="0018137C">
              <w:rPr>
                <w:lang w:val="es-419"/>
              </w:rPr>
              <w:drawing>
                <wp:inline distT="0" distB="0" distL="0" distR="0" wp14:anchorId="3E4ACA30" wp14:editId="563B67F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966FF3" w:rsidRPr="0018137C" w:rsidRDefault="00966FF3" w:rsidP="009756DC">
            <w:pPr>
              <w:rPr>
                <w:kern w:val="22"/>
                <w:lang w:val="es-419"/>
              </w:rPr>
            </w:pPr>
            <w:r w:rsidRPr="0018137C">
              <w:rPr>
                <w:lang w:val="es-419"/>
              </w:rPr>
              <w:drawing>
                <wp:inline distT="0" distB="0" distL="0" distR="0" wp14:anchorId="400FF7A6" wp14:editId="3F9C6662">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966FF3" w:rsidRPr="0018137C" w:rsidRDefault="00966FF3" w:rsidP="009756DC">
            <w:pPr>
              <w:jc w:val="right"/>
              <w:rPr>
                <w:rFonts w:ascii="Arial" w:hAnsi="Arial" w:cs="Arial"/>
                <w:b/>
                <w:kern w:val="22"/>
                <w:sz w:val="32"/>
                <w:szCs w:val="32"/>
                <w:lang w:val="es-419"/>
              </w:rPr>
            </w:pPr>
            <w:r w:rsidRPr="0018137C">
              <w:rPr>
                <w:rFonts w:ascii="Arial" w:hAnsi="Arial"/>
                <w:b/>
                <w:sz w:val="32"/>
                <w:szCs w:val="32"/>
                <w:lang w:val="es-419"/>
              </w:rPr>
              <w:t>CBD</w:t>
            </w:r>
          </w:p>
        </w:tc>
      </w:tr>
      <w:tr w:rsidR="00966FF3" w:rsidRPr="0018137C" w:rsidTr="009756DC">
        <w:tc>
          <w:tcPr>
            <w:tcW w:w="6117" w:type="dxa"/>
            <w:gridSpan w:val="2"/>
            <w:tcBorders>
              <w:top w:val="single" w:sz="12" w:space="0" w:color="auto"/>
              <w:bottom w:val="single" w:sz="36" w:space="0" w:color="auto"/>
            </w:tcBorders>
            <w:vAlign w:val="center"/>
          </w:tcPr>
          <w:p w:rsidR="00966FF3" w:rsidRPr="0018137C" w:rsidRDefault="0018137C" w:rsidP="009756DC">
            <w:pPr>
              <w:rPr>
                <w:kern w:val="22"/>
                <w:lang w:val="es-419"/>
              </w:rPr>
            </w:pPr>
            <w:r w:rsidRPr="0018137C">
              <w:rPr>
                <w:lang w:val="es-419"/>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966FF3" w:rsidRPr="0018137C" w:rsidRDefault="00966FF3" w:rsidP="00966FF3">
            <w:pPr>
              <w:ind w:left="1464"/>
              <w:rPr>
                <w:kern w:val="22"/>
                <w:szCs w:val="22"/>
                <w:lang w:val="es-419"/>
              </w:rPr>
            </w:pPr>
            <w:r w:rsidRPr="0018137C">
              <w:rPr>
                <w:lang w:val="es-419"/>
              </w:rPr>
              <w:t>Distr.</w:t>
            </w:r>
          </w:p>
          <w:p w:rsidR="00966FF3" w:rsidRPr="0018137C" w:rsidRDefault="00AD63D2" w:rsidP="00966FF3">
            <w:pPr>
              <w:ind w:left="1464"/>
              <w:rPr>
                <w:kern w:val="22"/>
                <w:szCs w:val="22"/>
                <w:lang w:val="es-419"/>
              </w:rPr>
            </w:pPr>
            <w:sdt>
              <w:sdtPr>
                <w:rPr>
                  <w:kern w:val="22"/>
                  <w:szCs w:val="22"/>
                  <w:lang w:val="es-419"/>
                </w:rPr>
                <w:alias w:val="Status"/>
                <w:tag w:val=""/>
                <w:id w:val="307985777"/>
                <w:placeholder>
                  <w:docPart w:val="02110F4148FE46B6A862248BF8DCA9A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09A5" w:rsidRPr="0018137C">
                  <w:rPr>
                    <w:kern w:val="22"/>
                    <w:szCs w:val="22"/>
                    <w:lang w:val="es-419"/>
                  </w:rPr>
                  <w:t>GENERAL</w:t>
                </w:r>
              </w:sdtContent>
            </w:sdt>
          </w:p>
          <w:p w:rsidR="00966FF3" w:rsidRPr="0018137C" w:rsidRDefault="00966FF3" w:rsidP="00966FF3">
            <w:pPr>
              <w:ind w:left="1464"/>
              <w:rPr>
                <w:kern w:val="22"/>
                <w:szCs w:val="22"/>
                <w:lang w:val="es-419"/>
              </w:rPr>
            </w:pPr>
          </w:p>
          <w:p w:rsidR="00966FF3" w:rsidRPr="0018137C" w:rsidRDefault="00AD63D2" w:rsidP="00966FF3">
            <w:pPr>
              <w:ind w:left="1464"/>
              <w:rPr>
                <w:kern w:val="22"/>
                <w:szCs w:val="22"/>
                <w:lang w:val="es-419"/>
              </w:rPr>
            </w:pPr>
            <w:sdt>
              <w:sdtPr>
                <w:rPr>
                  <w:kern w:val="22"/>
                  <w:lang w:val="es-419"/>
                </w:rPr>
                <w:alias w:val="Subject"/>
                <w:tag w:val=""/>
                <w:id w:val="2137136483"/>
                <w:placeholder>
                  <w:docPart w:val="BCA3772E92F148B9A2B3EB9C747A9071"/>
                </w:placeholder>
                <w:dataBinding w:prefixMappings="xmlns:ns0='http://purl.org/dc/elements/1.1/' xmlns:ns1='http://schemas.openxmlformats.org/package/2006/metadata/core-properties' " w:xpath="/ns1:coreProperties[1]/ns0:subject[1]" w:storeItemID="{6C3C8BC8-F283-45AE-878A-BAB7291924A1}"/>
                <w:text/>
              </w:sdtPr>
              <w:sdtEndPr/>
              <w:sdtContent>
                <w:r w:rsidR="00A009A5" w:rsidRPr="0018137C">
                  <w:rPr>
                    <w:kern w:val="22"/>
                    <w:lang w:val="es-419"/>
                  </w:rPr>
                  <w:t>CBD/COP/DEC/14/1</w:t>
                </w:r>
              </w:sdtContent>
            </w:sdt>
          </w:p>
          <w:p w:rsidR="00966FF3" w:rsidRPr="0018137C" w:rsidRDefault="00A009A5" w:rsidP="00966FF3">
            <w:pPr>
              <w:ind w:left="1464"/>
              <w:rPr>
                <w:kern w:val="22"/>
                <w:szCs w:val="22"/>
                <w:lang w:val="es-419"/>
              </w:rPr>
            </w:pPr>
            <w:r w:rsidRPr="0018137C">
              <w:rPr>
                <w:lang w:val="es-419"/>
              </w:rPr>
              <w:t>30 de noviembre de 2018</w:t>
            </w:r>
          </w:p>
          <w:p w:rsidR="00966FF3" w:rsidRPr="0018137C" w:rsidRDefault="00966FF3" w:rsidP="00966FF3">
            <w:pPr>
              <w:ind w:left="1464"/>
              <w:rPr>
                <w:kern w:val="22"/>
                <w:szCs w:val="22"/>
                <w:lang w:val="es-419"/>
              </w:rPr>
            </w:pPr>
          </w:p>
          <w:p w:rsidR="0018137C" w:rsidRPr="0018137C" w:rsidRDefault="00966FF3" w:rsidP="00966FF3">
            <w:pPr>
              <w:ind w:left="1464"/>
              <w:rPr>
                <w:lang w:val="es-419"/>
              </w:rPr>
            </w:pPr>
            <w:r w:rsidRPr="0018137C">
              <w:rPr>
                <w:lang w:val="es-419"/>
              </w:rPr>
              <w:t>ESPAÑOL</w:t>
            </w:r>
          </w:p>
          <w:p w:rsidR="00966FF3" w:rsidRPr="0018137C" w:rsidRDefault="00966FF3" w:rsidP="00966FF3">
            <w:pPr>
              <w:ind w:left="1464"/>
              <w:rPr>
                <w:kern w:val="22"/>
                <w:szCs w:val="22"/>
                <w:lang w:val="es-419"/>
              </w:rPr>
            </w:pPr>
            <w:r w:rsidRPr="0018137C">
              <w:rPr>
                <w:lang w:val="es-419"/>
              </w:rPr>
              <w:t>ORIGINAL:</w:t>
            </w:r>
            <w:r w:rsidR="0018137C" w:rsidRPr="0018137C">
              <w:rPr>
                <w:lang w:val="es-419"/>
              </w:rPr>
              <w:t xml:space="preserve"> </w:t>
            </w:r>
            <w:r w:rsidRPr="0018137C">
              <w:rPr>
                <w:lang w:val="es-419"/>
              </w:rPr>
              <w:t>INGLÉS</w:t>
            </w:r>
          </w:p>
          <w:p w:rsidR="00966FF3" w:rsidRPr="0018137C" w:rsidRDefault="00966FF3" w:rsidP="009756DC">
            <w:pPr>
              <w:rPr>
                <w:kern w:val="22"/>
                <w:lang w:val="es-419"/>
              </w:rPr>
            </w:pPr>
          </w:p>
        </w:tc>
      </w:tr>
    </w:tbl>
    <w:p w:rsidR="00966FF3" w:rsidRPr="0018137C" w:rsidRDefault="00966FF3" w:rsidP="00966FF3">
      <w:pPr>
        <w:pStyle w:val="Sinespaciado"/>
        <w:ind w:left="142" w:right="4682" w:hanging="142"/>
        <w:rPr>
          <w:rFonts w:ascii="Times New Roman" w:hAnsi="Times New Roman"/>
          <w:kern w:val="22"/>
          <w:lang w:val="es-419"/>
        </w:rPr>
      </w:pPr>
      <w:r w:rsidRPr="0018137C">
        <w:rPr>
          <w:rFonts w:ascii="Times New Roman" w:hAnsi="Times New Roman"/>
          <w:lang w:val="es-419"/>
        </w:rPr>
        <w:t>CONFERENCIA DE LAS PARTES EN EL CONVENIO SOBRE LA DIVERSIDAD BIOLÓGICA</w:t>
      </w:r>
    </w:p>
    <w:p w:rsidR="0061445E" w:rsidRPr="0018137C" w:rsidRDefault="0061445E" w:rsidP="0061445E">
      <w:pPr>
        <w:pStyle w:val="Sinespaciado"/>
        <w:rPr>
          <w:rFonts w:ascii="Times New Roman" w:hAnsi="Times New Roman"/>
          <w:kern w:val="22"/>
          <w:lang w:val="es-419"/>
        </w:rPr>
      </w:pPr>
      <w:r w:rsidRPr="0018137C">
        <w:rPr>
          <w:rFonts w:ascii="Times New Roman" w:hAnsi="Times New Roman"/>
          <w:lang w:val="es-419"/>
        </w:rPr>
        <w:t>Decimocuarta reunión</w:t>
      </w:r>
    </w:p>
    <w:p w:rsidR="0061445E" w:rsidRPr="0018137C" w:rsidRDefault="0061445E" w:rsidP="0061445E">
      <w:pPr>
        <w:pStyle w:val="Sinespaciado"/>
        <w:rPr>
          <w:rFonts w:ascii="Times New Roman" w:hAnsi="Times New Roman"/>
          <w:kern w:val="22"/>
          <w:lang w:val="es-419"/>
        </w:rPr>
      </w:pPr>
      <w:r w:rsidRPr="0018137C">
        <w:rPr>
          <w:rFonts w:ascii="Times New Roman" w:hAnsi="Times New Roman"/>
          <w:lang w:val="es-419"/>
        </w:rPr>
        <w:t>Sharm el-Sheikh (Egipto), 17 a 29 de noviembre de 2018</w:t>
      </w:r>
    </w:p>
    <w:p w:rsidR="00C9161D" w:rsidRPr="0018137C" w:rsidRDefault="00405146" w:rsidP="00C9161D">
      <w:pPr>
        <w:rPr>
          <w:kern w:val="22"/>
          <w:szCs w:val="22"/>
          <w:lang w:val="es-419"/>
        </w:rPr>
      </w:pPr>
      <w:r w:rsidRPr="0018137C">
        <w:rPr>
          <w:lang w:val="es-419"/>
        </w:rPr>
        <w:t>Tema</w:t>
      </w:r>
      <w:r w:rsidR="0018137C">
        <w:rPr>
          <w:lang w:val="es-419"/>
        </w:rPr>
        <w:t> </w:t>
      </w:r>
      <w:bookmarkStart w:id="0" w:name="_GoBack"/>
      <w:bookmarkEnd w:id="0"/>
      <w:r w:rsidRPr="0018137C">
        <w:rPr>
          <w:lang w:val="es-419"/>
        </w:rPr>
        <w:t>8 del programa</w:t>
      </w:r>
    </w:p>
    <w:p w:rsidR="00A009A5" w:rsidRPr="0018137C" w:rsidRDefault="00A009A5" w:rsidP="00A009A5">
      <w:pPr>
        <w:pStyle w:val="HEADINGNOTFORTOC"/>
        <w:rPr>
          <w:kern w:val="22"/>
          <w:szCs w:val="22"/>
          <w:lang w:val="es-419"/>
        </w:rPr>
      </w:pPr>
      <w:r w:rsidRPr="0018137C">
        <w:rPr>
          <w:lang w:val="es-419"/>
        </w:rPr>
        <w:t>Decisión adoptada por la Conferencia de las Partes en el Convenio sobre la Diversidad Biológica</w:t>
      </w:r>
    </w:p>
    <w:p w:rsidR="00C9161D" w:rsidRPr="0018137C" w:rsidRDefault="0018137C" w:rsidP="00C04C03">
      <w:pPr>
        <w:pStyle w:val="recommendationheader"/>
        <w:rPr>
          <w:caps/>
          <w:lang w:val="es-419"/>
        </w:rPr>
      </w:pPr>
      <w:sdt>
        <w:sdtPr>
          <w:rPr>
            <w:rStyle w:val="Tablaconcuadrcula"/>
            <w:szCs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18137C">
            <w:rPr>
              <w:rStyle w:val="Tablaconcuadrcula"/>
              <w:szCs w:val="22"/>
              <w:lang w:val="es-419"/>
            </w:rPr>
            <w:t>14/1.</w:t>
          </w:r>
          <w:r w:rsidRPr="0018137C">
            <w:rPr>
              <w:rStyle w:val="Tablaconcuadrcula"/>
              <w:szCs w:val="22"/>
              <w:lang w:val="es-419"/>
            </w:rPr>
            <w:tab/>
          </w:r>
          <w:r w:rsidRPr="0018137C">
            <w:rPr>
              <w:rStyle w:val="Tablaconcuadrcula"/>
              <w:szCs w:val="22"/>
              <w:lang w:val="es-419"/>
            </w:rPr>
            <w:t>Evaluación actualizada de los progresos hacia determinadas Metas de Aichi para la Diversidad Biológica y opciones para acelerar los progresos</w:t>
          </w:r>
        </w:sdtContent>
      </w:sdt>
    </w:p>
    <w:p w:rsidR="00FD7A33" w:rsidRPr="0018137C" w:rsidRDefault="00FD7A33" w:rsidP="00FD7A33">
      <w:pPr>
        <w:pStyle w:val="NormalWeb"/>
        <w:keepNext/>
        <w:keepLines/>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i/>
          <w:kern w:val="22"/>
          <w:sz w:val="22"/>
          <w:szCs w:val="22"/>
          <w:lang w:val="es-419"/>
        </w:rPr>
      </w:pPr>
      <w:r w:rsidRPr="0018137C">
        <w:rPr>
          <w:rFonts w:ascii="Times New Roman" w:hAnsi="Times New Roman"/>
          <w:i/>
          <w:sz w:val="22"/>
          <w:szCs w:val="22"/>
          <w:lang w:val="es-419"/>
        </w:rPr>
        <w:t>La Conferencia de las Partes,</w:t>
      </w:r>
    </w:p>
    <w:p w:rsidR="00FD7A33" w:rsidRPr="0018137C" w:rsidRDefault="00FD7A33" w:rsidP="00FD7A33">
      <w:pPr>
        <w:suppressLineNumbers/>
        <w:suppressAutoHyphens/>
        <w:kinsoku w:val="0"/>
        <w:overflowPunct w:val="0"/>
        <w:autoSpaceDE w:val="0"/>
        <w:autoSpaceDN w:val="0"/>
        <w:spacing w:before="120" w:after="120"/>
        <w:ind w:firstLine="720"/>
        <w:rPr>
          <w:iCs/>
          <w:snapToGrid w:val="0"/>
          <w:kern w:val="22"/>
          <w:szCs w:val="22"/>
          <w:lang w:val="es-419"/>
        </w:rPr>
      </w:pPr>
      <w:r w:rsidRPr="0018137C">
        <w:rPr>
          <w:i/>
          <w:iCs/>
          <w:snapToGrid w:val="0"/>
          <w:szCs w:val="22"/>
          <w:lang w:val="es-419"/>
        </w:rPr>
        <w:t>Recordando</w:t>
      </w:r>
      <w:r w:rsidRPr="0018137C">
        <w:rPr>
          <w:iCs/>
          <w:snapToGrid w:val="0"/>
          <w:szCs w:val="22"/>
          <w:lang w:val="es-419"/>
        </w:rPr>
        <w:t xml:space="preserve"> las decisiones XIII/5, XIII/28 y XIII/29</w:t>
      </w:r>
    </w:p>
    <w:p w:rsidR="00FD7A33" w:rsidRPr="0018137C" w:rsidRDefault="00BD6C6E" w:rsidP="00FD7A33">
      <w:pPr>
        <w:pStyle w:val="NormalWeb"/>
        <w:keepNext/>
        <w:keepLines/>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i/>
          <w:color w:val="auto"/>
          <w:sz w:val="22"/>
          <w:szCs w:val="22"/>
          <w:lang w:val="es-419"/>
        </w:rPr>
        <w:t>Recordando</w:t>
      </w:r>
      <w:r w:rsidRPr="0018137C">
        <w:rPr>
          <w:rFonts w:ascii="Times New Roman" w:hAnsi="Times New Roman"/>
          <w:color w:val="auto"/>
          <w:sz w:val="22"/>
          <w:szCs w:val="22"/>
          <w:lang w:val="es-419"/>
        </w:rPr>
        <w:t xml:space="preserve"> la decisión XIII/1, en particular los párrafos 12 y 19,</w:t>
      </w:r>
    </w:p>
    <w:p w:rsidR="00FD7A33" w:rsidRPr="0018137C" w:rsidRDefault="00FD7A33" w:rsidP="00FD7A33">
      <w:pPr>
        <w:suppressLineNumbers/>
        <w:suppressAutoHyphens/>
        <w:kinsoku w:val="0"/>
        <w:overflowPunct w:val="0"/>
        <w:autoSpaceDE w:val="0"/>
        <w:autoSpaceDN w:val="0"/>
        <w:spacing w:before="120" w:after="120"/>
        <w:ind w:firstLine="720"/>
        <w:rPr>
          <w:kern w:val="22"/>
          <w:szCs w:val="22"/>
          <w:lang w:val="es-419"/>
        </w:rPr>
      </w:pPr>
      <w:r w:rsidRPr="0018137C">
        <w:rPr>
          <w:i/>
          <w:iCs/>
          <w:snapToGrid w:val="0"/>
          <w:szCs w:val="22"/>
          <w:lang w:val="es-419"/>
        </w:rPr>
        <w:t>Profundamente preocupada</w:t>
      </w:r>
      <w:r w:rsidRPr="0018137C">
        <w:rPr>
          <w:iCs/>
          <w:snapToGrid w:val="0"/>
          <w:szCs w:val="22"/>
          <w:lang w:val="es-419"/>
        </w:rPr>
        <w:t xml:space="preserve"> por el hecho de que, a pesar de las muchas medidas positivas adoptadas por las Partes y otros, la mayoría de las Metas de Aichi para la Diversidad Biológica no están bien encaminadas hacia su logro de aquí a 2020, lo que, si no se realizan progresos significativos, pondrá en peligro el logro de la misión y la visión del Plan Estratégico para la Diversidad Biológica 2011-2020</w:t>
      </w:r>
      <w:r w:rsidRPr="0018137C">
        <w:rPr>
          <w:rStyle w:val="Refdenotaalpie"/>
          <w:iCs/>
          <w:snapToGrid w:val="0"/>
          <w:kern w:val="22"/>
          <w:szCs w:val="22"/>
          <w:lang w:val="es-419"/>
        </w:rPr>
        <w:footnoteReference w:id="1"/>
      </w:r>
      <w:r w:rsidRPr="0018137C">
        <w:rPr>
          <w:iCs/>
          <w:snapToGrid w:val="0"/>
          <w:szCs w:val="22"/>
          <w:lang w:val="es-419"/>
        </w:rPr>
        <w:t xml:space="preserve"> y los Objetivos de Desarrollo Sostenible</w:t>
      </w:r>
      <w:r w:rsidRPr="0018137C">
        <w:rPr>
          <w:rStyle w:val="Refdenotaalpie"/>
          <w:iCs/>
          <w:snapToGrid w:val="0"/>
          <w:spacing w:val="-2"/>
          <w:kern w:val="22"/>
          <w:szCs w:val="22"/>
          <w:lang w:val="es-419"/>
        </w:rPr>
        <w:footnoteReference w:id="2"/>
      </w:r>
      <w:r w:rsidRPr="0018137C">
        <w:rPr>
          <w:iCs/>
          <w:snapToGrid w:val="0"/>
          <w:szCs w:val="22"/>
          <w:lang w:val="es-419"/>
        </w:rPr>
        <w:t xml:space="preserve"> y, en última instancia, los sistemas que sustentan la vida en el planeta;</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vertAlign w:val="superscript"/>
          <w:lang w:val="es-419"/>
        </w:rPr>
      </w:pPr>
      <w:r w:rsidRPr="0018137C">
        <w:rPr>
          <w:rFonts w:ascii="Times New Roman" w:hAnsi="Times New Roman"/>
          <w:sz w:val="22"/>
          <w:szCs w:val="22"/>
          <w:lang w:val="es-419"/>
        </w:rPr>
        <w:t>1.</w:t>
      </w:r>
      <w:r w:rsidRPr="0018137C">
        <w:rPr>
          <w:rFonts w:ascii="Times New Roman" w:hAnsi="Times New Roman"/>
          <w:sz w:val="22"/>
          <w:szCs w:val="22"/>
          <w:lang w:val="es-419"/>
        </w:rPr>
        <w:tab/>
      </w:r>
      <w:r w:rsidRPr="0018137C">
        <w:rPr>
          <w:rFonts w:ascii="Times New Roman" w:hAnsi="Times New Roman"/>
          <w:i/>
          <w:sz w:val="22"/>
          <w:szCs w:val="22"/>
          <w:lang w:val="es-419"/>
        </w:rPr>
        <w:t>Acoge con satisfacción</w:t>
      </w:r>
      <w:r w:rsidRPr="0018137C">
        <w:rPr>
          <w:rFonts w:ascii="Times New Roman" w:hAnsi="Times New Roman"/>
          <w:sz w:val="22"/>
          <w:szCs w:val="22"/>
          <w:lang w:val="es-419"/>
        </w:rPr>
        <w:t xml:space="preserve"> el análisis actualizado de los progresos realizados en la aplicación del Convenio y la implementación del Plan Estratégico para la Diversidad Biológica 2011-2020 y hacia el logro de las Metas de Aichi para la Diversidad Biológica, incluida la información actualizada sobre los progresos realizados en la revisión/actualización e implementación de las estrategias y planes de acción nacionales en materia de biodiversidad, incluidos las metas nacionales y los informes nacionales, y el análisis de la contribución de los objetivos establecidos por las Partes y los progresos hacia el logro de las Metas de Aichi para la Diversidad Biológica</w:t>
      </w:r>
      <w:r w:rsidRPr="0018137C">
        <w:rPr>
          <w:rFonts w:ascii="Times New Roman" w:hAnsi="Times New Roman" w:cs="Times New Roman"/>
          <w:color w:val="auto"/>
          <w:kern w:val="22"/>
          <w:sz w:val="22"/>
          <w:szCs w:val="22"/>
          <w:vertAlign w:val="superscript"/>
          <w:lang w:val="es-419"/>
        </w:rPr>
        <w:footnoteReference w:id="3"/>
      </w:r>
      <w:r w:rsidRPr="0018137C">
        <w:rPr>
          <w:rFonts w:ascii="Times New Roman" w:hAnsi="Times New Roman"/>
          <w:sz w:val="22"/>
          <w:szCs w:val="22"/>
          <w:lang w:val="es-419"/>
        </w:rPr>
        <w:t>;</w:t>
      </w:r>
    </w:p>
    <w:p w:rsidR="00FD7A33" w:rsidRPr="0018137C" w:rsidRDefault="00FD7A33" w:rsidP="00FD7A33">
      <w:pPr>
        <w:suppressLineNumbers/>
        <w:suppressAutoHyphens/>
        <w:kinsoku w:val="0"/>
        <w:overflowPunct w:val="0"/>
        <w:autoSpaceDE w:val="0"/>
        <w:autoSpaceDN w:val="0"/>
        <w:spacing w:before="120" w:after="120"/>
        <w:ind w:firstLine="720"/>
        <w:rPr>
          <w:kern w:val="22"/>
          <w:szCs w:val="22"/>
          <w:lang w:val="es-419"/>
        </w:rPr>
      </w:pPr>
      <w:r w:rsidRPr="0018137C">
        <w:rPr>
          <w:snapToGrid w:val="0"/>
          <w:szCs w:val="22"/>
          <w:lang w:val="es-419"/>
        </w:rPr>
        <w:t>2.</w:t>
      </w:r>
      <w:r w:rsidRPr="0018137C">
        <w:rPr>
          <w:i/>
          <w:snapToGrid w:val="0"/>
          <w:szCs w:val="22"/>
          <w:lang w:val="es-419"/>
        </w:rPr>
        <w:tab/>
        <w:t>Acoge con reconocimiento</w:t>
      </w:r>
      <w:r w:rsidRPr="0018137C">
        <w:rPr>
          <w:snapToGrid w:val="0"/>
          <w:szCs w:val="22"/>
          <w:lang w:val="es-419"/>
        </w:rPr>
        <w:t xml:space="preserve"> las evaluaciones regionales de la diversidad biológica y los servicios de los ecosistemas para África, las Américas, Asia y el Pacífico y Europa y Asia Central y la Evaluación temática de la degradación y la restauración de la tierra de la Plataforma Intergubernamental Científico-Normativa sobre Diversidad Biológica y Servicios de los Ecosistemas;</w:t>
      </w:r>
    </w:p>
    <w:p w:rsidR="00FD7A33" w:rsidRPr="0018137C" w:rsidRDefault="00FD7A33" w:rsidP="00FD7A33">
      <w:pPr>
        <w:suppressLineNumbers/>
        <w:suppressAutoHyphens/>
        <w:kinsoku w:val="0"/>
        <w:overflowPunct w:val="0"/>
        <w:autoSpaceDE w:val="0"/>
        <w:autoSpaceDN w:val="0"/>
        <w:spacing w:before="120" w:after="120"/>
        <w:ind w:firstLine="720"/>
        <w:rPr>
          <w:iCs/>
          <w:snapToGrid w:val="0"/>
          <w:kern w:val="22"/>
          <w:szCs w:val="22"/>
          <w:lang w:val="es-419"/>
        </w:rPr>
      </w:pPr>
      <w:r w:rsidRPr="0018137C">
        <w:rPr>
          <w:snapToGrid w:val="0"/>
          <w:szCs w:val="22"/>
          <w:lang w:val="es-419"/>
        </w:rPr>
        <w:t>3.</w:t>
      </w:r>
      <w:r w:rsidRPr="0018137C">
        <w:rPr>
          <w:i/>
          <w:snapToGrid w:val="0"/>
          <w:szCs w:val="22"/>
          <w:lang w:val="es-419"/>
        </w:rPr>
        <w:tab/>
        <w:t>Acoge con satisfacción</w:t>
      </w:r>
      <w:r w:rsidRPr="0018137C">
        <w:rPr>
          <w:snapToGrid w:val="0"/>
          <w:szCs w:val="22"/>
          <w:lang w:val="es-419"/>
        </w:rPr>
        <w:t xml:space="preserve"> la revisión de la información científica actualizada</w:t>
      </w:r>
      <w:r w:rsidRPr="0018137C">
        <w:rPr>
          <w:iCs/>
          <w:snapToGrid w:val="0"/>
          <w:kern w:val="22"/>
          <w:szCs w:val="22"/>
          <w:vertAlign w:val="superscript"/>
          <w:lang w:val="es-419"/>
        </w:rPr>
        <w:footnoteReference w:id="4"/>
      </w:r>
      <w:r w:rsidRPr="0018137C">
        <w:rPr>
          <w:snapToGrid w:val="0"/>
          <w:szCs w:val="22"/>
          <w:lang w:val="es-419"/>
        </w:rPr>
        <w:t xml:space="preserve">, incluidas sus conclusiones y las carencias de información identificadas, y las posibles opciones para acelerar los progresos </w:t>
      </w:r>
      <w:r w:rsidRPr="0018137C">
        <w:rPr>
          <w:snapToGrid w:val="0"/>
          <w:szCs w:val="22"/>
          <w:lang w:val="es-419"/>
        </w:rPr>
        <w:lastRenderedPageBreak/>
        <w:t>hacia el logro de las Metas de Aichi para la Diversidad Biológica que figuran en el anexo de la presente decisión;</w:t>
      </w:r>
    </w:p>
    <w:p w:rsidR="00FD7A33" w:rsidRPr="0018137C" w:rsidRDefault="00FD7A33" w:rsidP="00FD7A33">
      <w:pPr>
        <w:suppressLineNumbers/>
        <w:suppressAutoHyphens/>
        <w:kinsoku w:val="0"/>
        <w:overflowPunct w:val="0"/>
        <w:autoSpaceDE w:val="0"/>
        <w:autoSpaceDN w:val="0"/>
        <w:spacing w:before="120" w:after="120"/>
        <w:ind w:firstLine="720"/>
        <w:rPr>
          <w:iCs/>
          <w:snapToGrid w:val="0"/>
          <w:kern w:val="22"/>
          <w:szCs w:val="22"/>
          <w:lang w:val="es-419"/>
        </w:rPr>
      </w:pPr>
      <w:r w:rsidRPr="0018137C">
        <w:rPr>
          <w:iCs/>
          <w:snapToGrid w:val="0"/>
          <w:szCs w:val="22"/>
          <w:lang w:val="es-419"/>
        </w:rPr>
        <w:t>4.</w:t>
      </w:r>
      <w:r w:rsidRPr="0018137C">
        <w:rPr>
          <w:iCs/>
          <w:snapToGrid w:val="0"/>
          <w:szCs w:val="22"/>
          <w:lang w:val="es-419"/>
        </w:rPr>
        <w:tab/>
      </w:r>
      <w:r w:rsidRPr="0018137C">
        <w:rPr>
          <w:i/>
          <w:iCs/>
          <w:snapToGrid w:val="0"/>
          <w:szCs w:val="22"/>
          <w:lang w:val="es-419"/>
        </w:rPr>
        <w:t>Acoge con satisfacción también</w:t>
      </w:r>
      <w:r w:rsidRPr="0018137C">
        <w:rPr>
          <w:iCs/>
          <w:snapToGrid w:val="0"/>
          <w:szCs w:val="22"/>
          <w:lang w:val="es-419"/>
        </w:rPr>
        <w:t xml:space="preserve"> los indicadores adicionales que se han identificado y aquellos que tienen datos puntuales actualizados</w:t>
      </w:r>
      <w:r w:rsidRPr="0018137C">
        <w:rPr>
          <w:iCs/>
          <w:snapToGrid w:val="0"/>
          <w:kern w:val="22"/>
          <w:szCs w:val="22"/>
          <w:vertAlign w:val="superscript"/>
          <w:lang w:val="es-419"/>
        </w:rPr>
        <w:footnoteReference w:id="5"/>
      </w:r>
      <w:r w:rsidRPr="0018137C">
        <w:rPr>
          <w:iCs/>
          <w:snapToGrid w:val="0"/>
          <w:szCs w:val="22"/>
          <w:lang w:val="es-419"/>
        </w:rPr>
        <w:t xml:space="preserve"> y </w:t>
      </w:r>
      <w:r w:rsidRPr="0018137C">
        <w:rPr>
          <w:i/>
          <w:iCs/>
          <w:snapToGrid w:val="0"/>
          <w:szCs w:val="22"/>
          <w:lang w:val="es-419"/>
        </w:rPr>
        <w:t>reconoce</w:t>
      </w:r>
      <w:r w:rsidRPr="0018137C">
        <w:rPr>
          <w:iCs/>
          <w:snapToGrid w:val="0"/>
          <w:szCs w:val="22"/>
          <w:lang w:val="es-419"/>
        </w:rPr>
        <w:t xml:space="preserve"> la contribución de la Alianza sobre Indicadores de Biodiversidad para lograr progresos en la labor sobre los indicadores pertinentes para el Plan Estratégico para la Diversidad Biológica 2011-2020;</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color w:val="auto"/>
          <w:sz w:val="22"/>
          <w:szCs w:val="22"/>
          <w:lang w:val="es-419"/>
        </w:rPr>
        <w:t>5.</w:t>
      </w:r>
      <w:r w:rsidRPr="0018137C">
        <w:rPr>
          <w:rFonts w:ascii="Times New Roman" w:hAnsi="Times New Roman"/>
          <w:color w:val="auto"/>
          <w:sz w:val="22"/>
          <w:szCs w:val="22"/>
          <w:lang w:val="es-419"/>
        </w:rPr>
        <w:tab/>
      </w:r>
      <w:r w:rsidRPr="0018137C">
        <w:rPr>
          <w:rFonts w:ascii="Times New Roman" w:hAnsi="Times New Roman"/>
          <w:i/>
          <w:color w:val="auto"/>
          <w:sz w:val="22"/>
          <w:szCs w:val="22"/>
          <w:lang w:val="es-419"/>
        </w:rPr>
        <w:t>Reconoce</w:t>
      </w:r>
      <w:r w:rsidRPr="0018137C">
        <w:rPr>
          <w:rFonts w:ascii="Times New Roman" w:hAnsi="Times New Roman"/>
          <w:color w:val="auto"/>
          <w:sz w:val="22"/>
          <w:szCs w:val="22"/>
          <w:lang w:val="es-419"/>
        </w:rPr>
        <w:t xml:space="preserve"> los esfuerzos desplegados por las Partes para traducir las Metas de Aichi para la Diversidad Biológica en compromisos y medidas nacionales, pero </w:t>
      </w:r>
      <w:r w:rsidRPr="0018137C">
        <w:rPr>
          <w:rFonts w:ascii="Times New Roman" w:hAnsi="Times New Roman"/>
          <w:i/>
          <w:color w:val="auto"/>
          <w:sz w:val="22"/>
          <w:szCs w:val="22"/>
          <w:lang w:val="es-419"/>
        </w:rPr>
        <w:t>observa con preocupación</w:t>
      </w:r>
      <w:r w:rsidRPr="0018137C">
        <w:rPr>
          <w:rFonts w:ascii="Times New Roman" w:hAnsi="Times New Roman"/>
          <w:color w:val="auto"/>
          <w:sz w:val="22"/>
          <w:szCs w:val="22"/>
          <w:lang w:val="es-419"/>
        </w:rPr>
        <w:t xml:space="preserve"> las conclusiones de la evaluación actualizada de los progresos realizados</w:t>
      </w:r>
      <w:r w:rsidRPr="0018137C">
        <w:rPr>
          <w:rStyle w:val="Refdenotaalpie"/>
          <w:rFonts w:ascii="Times New Roman" w:hAnsi="Times New Roman" w:cs="Times New Roman"/>
          <w:color w:val="auto"/>
          <w:kern w:val="22"/>
          <w:szCs w:val="22"/>
          <w:lang w:val="es-419"/>
        </w:rPr>
        <w:footnoteReference w:id="6"/>
      </w:r>
      <w:r w:rsidRPr="0018137C">
        <w:rPr>
          <w:rFonts w:ascii="Times New Roman" w:hAnsi="Times New Roman"/>
          <w:color w:val="auto"/>
          <w:sz w:val="22"/>
          <w:szCs w:val="22"/>
          <w:lang w:val="es-419"/>
        </w:rPr>
        <w:t>, en particular lo siguiente:</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18137C">
        <w:rPr>
          <w:rFonts w:ascii="Times New Roman" w:hAnsi="Times New Roman"/>
          <w:color w:val="auto"/>
          <w:sz w:val="22"/>
          <w:szCs w:val="22"/>
          <w:lang w:val="es-419"/>
        </w:rPr>
        <w:t>a)</w:t>
      </w:r>
      <w:r w:rsidRPr="0018137C">
        <w:rPr>
          <w:rFonts w:ascii="Times New Roman" w:hAnsi="Times New Roman"/>
          <w:color w:val="auto"/>
          <w:sz w:val="22"/>
          <w:szCs w:val="22"/>
          <w:lang w:val="es-419"/>
        </w:rPr>
        <w:tab/>
        <w:t>En la mayoría de las Metas de Aichi para la Diversidad Biológica, los progresos han sido escasos y, en algunas Metas, no se ha logrado ningún progreso general;</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color w:val="auto"/>
          <w:sz w:val="22"/>
          <w:szCs w:val="22"/>
          <w:lang w:val="es-419"/>
        </w:rPr>
        <w:t>b)</w:t>
      </w:r>
      <w:r w:rsidRPr="0018137C">
        <w:rPr>
          <w:rFonts w:ascii="Times New Roman" w:hAnsi="Times New Roman"/>
          <w:color w:val="auto"/>
          <w:sz w:val="22"/>
          <w:szCs w:val="22"/>
          <w:lang w:val="es-419"/>
        </w:rPr>
        <w:tab/>
        <w:t>Solo un número limitado de Partes ha adoptado sus estrategias y planes de acción nacionales en materia de biodiversidad como instrumentos de política para todo el gobierno;</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color w:val="auto"/>
          <w:sz w:val="22"/>
          <w:szCs w:val="22"/>
          <w:lang w:val="es-419"/>
        </w:rPr>
        <w:t>c)</w:t>
      </w:r>
      <w:r w:rsidRPr="0018137C">
        <w:rPr>
          <w:rFonts w:ascii="Times New Roman" w:hAnsi="Times New Roman"/>
          <w:color w:val="auto"/>
          <w:sz w:val="22"/>
          <w:szCs w:val="22"/>
          <w:lang w:val="es-419"/>
        </w:rPr>
        <w:tab/>
        <w:t>Solo un número limitado de estrategias y planes de acción nacionales en materia de biodiversidad incluye estrategias de movilización de recursos, estrategias de comunicación y sensibilización del público o estrategias de desarrollo de la capacidad, como se sugiere en la orientación para las estrategias y planes de acción nacionales en materia de biodiversidad;</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color w:val="auto"/>
          <w:sz w:val="22"/>
          <w:szCs w:val="22"/>
          <w:lang w:val="es-419"/>
        </w:rPr>
        <w:t>d)</w:t>
      </w:r>
      <w:r w:rsidRPr="0018137C">
        <w:rPr>
          <w:rFonts w:ascii="Times New Roman" w:hAnsi="Times New Roman"/>
          <w:color w:val="auto"/>
          <w:sz w:val="22"/>
          <w:szCs w:val="22"/>
          <w:lang w:val="es-419"/>
        </w:rPr>
        <w:tab/>
        <w:t>Solo un número limitado de estrategias y planes de acción nacionales en materia de biodiversidad demuestran que la diversidad biológica se está integrando de manera significativa en planes y políticas intersectoriales, políticas de erradicación de la pobreza o planes para el desarrollo sostenible;</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18137C">
        <w:rPr>
          <w:rFonts w:ascii="Times New Roman" w:hAnsi="Times New Roman"/>
          <w:sz w:val="22"/>
          <w:szCs w:val="22"/>
          <w:lang w:val="es-419"/>
        </w:rPr>
        <w:t>6.</w:t>
      </w:r>
      <w:r w:rsidRPr="0018137C">
        <w:rPr>
          <w:rFonts w:ascii="Times New Roman" w:hAnsi="Times New Roman"/>
          <w:sz w:val="22"/>
          <w:szCs w:val="22"/>
          <w:lang w:val="es-419"/>
        </w:rPr>
        <w:tab/>
      </w:r>
      <w:r w:rsidRPr="0018137C">
        <w:rPr>
          <w:rFonts w:ascii="Times New Roman" w:hAnsi="Times New Roman"/>
          <w:i/>
          <w:sz w:val="22"/>
          <w:szCs w:val="22"/>
          <w:lang w:val="es-419"/>
        </w:rPr>
        <w:t xml:space="preserve">Observa </w:t>
      </w:r>
      <w:r w:rsidRPr="0018137C">
        <w:rPr>
          <w:rFonts w:ascii="Times New Roman" w:hAnsi="Times New Roman"/>
          <w:sz w:val="22"/>
          <w:szCs w:val="22"/>
          <w:lang w:val="es-419"/>
        </w:rPr>
        <w:t>que algunas Partes han integrado sus estrategias y planes de acción nacionales en materia de biodiversidad en otras estrategias nacionales de medio ambiente y desarrollo y que esto puede promover una mayor eficacia en la movilización de recursos y la comunicación;</w:t>
      </w:r>
    </w:p>
    <w:p w:rsidR="00FD7A33" w:rsidRPr="0018137C" w:rsidRDefault="00FD7A33" w:rsidP="00FD7A33">
      <w:pPr>
        <w:suppressLineNumbers/>
        <w:suppressAutoHyphens/>
        <w:kinsoku w:val="0"/>
        <w:autoSpaceDE w:val="0"/>
        <w:autoSpaceDN w:val="0"/>
        <w:adjustRightInd w:val="0"/>
        <w:snapToGrid w:val="0"/>
        <w:spacing w:before="120" w:after="120"/>
        <w:ind w:firstLine="720"/>
        <w:textAlignment w:val="baseline"/>
        <w:rPr>
          <w:color w:val="000000"/>
          <w:kern w:val="22"/>
          <w:szCs w:val="22"/>
          <w:lang w:val="es-419"/>
        </w:rPr>
      </w:pPr>
      <w:r w:rsidRPr="0018137C">
        <w:rPr>
          <w:lang w:val="es-419"/>
        </w:rPr>
        <w:t>7.</w:t>
      </w:r>
      <w:r w:rsidRPr="0018137C">
        <w:rPr>
          <w:i/>
          <w:szCs w:val="22"/>
          <w:lang w:val="es-419"/>
        </w:rPr>
        <w:tab/>
        <w:t>Invita</w:t>
      </w:r>
      <w:r w:rsidRPr="0018137C">
        <w:rPr>
          <w:lang w:val="es-419"/>
        </w:rPr>
        <w:t xml:space="preserve"> a las Partes que hayan adoptado sus estrategias y planes de acción nacionales en materia de biodiversidad como instrumentos de política para todo el gobierno a compartir, como por ejemplo a través del mecanismo de facilitación del Convenio, sus experiencias y mejores prácticas al respecto, incluidas las dificultades que hayan enfrentado;</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color w:val="auto"/>
          <w:sz w:val="22"/>
          <w:szCs w:val="22"/>
          <w:lang w:val="es-419"/>
        </w:rPr>
        <w:t>8.</w:t>
      </w:r>
      <w:r w:rsidRPr="0018137C">
        <w:rPr>
          <w:rFonts w:ascii="Times New Roman" w:hAnsi="Times New Roman"/>
          <w:color w:val="auto"/>
          <w:sz w:val="22"/>
          <w:szCs w:val="22"/>
          <w:lang w:val="es-419"/>
        </w:rPr>
        <w:tab/>
      </w:r>
      <w:r w:rsidRPr="0018137C">
        <w:rPr>
          <w:rFonts w:ascii="Times New Roman" w:hAnsi="Times New Roman"/>
          <w:i/>
          <w:color w:val="auto"/>
          <w:sz w:val="22"/>
          <w:szCs w:val="22"/>
          <w:lang w:val="es-419"/>
        </w:rPr>
        <w:t>Insta</w:t>
      </w:r>
      <w:r w:rsidRPr="0018137C">
        <w:rPr>
          <w:rFonts w:ascii="Times New Roman" w:hAnsi="Times New Roman"/>
          <w:color w:val="auto"/>
          <w:sz w:val="22"/>
          <w:szCs w:val="22"/>
          <w:lang w:val="es-419"/>
        </w:rPr>
        <w:t xml:space="preserve"> a las Partes a acelerar considerablemente sus esfuerzos para implementar el Plan Estratégico para la Diversidad Biológica 2011-2020, en particular abordando los desfases que pudiera haber entre las aspiraciones planteadas en sus estrategias y planes de acción nacionales en materia de biodiversidad y las medidas adoptadas para implementarlos;</w:t>
      </w:r>
    </w:p>
    <w:p w:rsidR="00FD7A33" w:rsidRPr="0018137C" w:rsidRDefault="00FD7A33" w:rsidP="00FD7A33">
      <w:pPr>
        <w:suppressLineNumbers/>
        <w:suppressAutoHyphens/>
        <w:kinsoku w:val="0"/>
        <w:autoSpaceDE w:val="0"/>
        <w:autoSpaceDN w:val="0"/>
        <w:adjustRightInd w:val="0"/>
        <w:snapToGrid w:val="0"/>
        <w:spacing w:before="120" w:after="120"/>
        <w:ind w:firstLine="720"/>
        <w:textAlignment w:val="baseline"/>
        <w:rPr>
          <w:color w:val="000000"/>
          <w:kern w:val="22"/>
          <w:szCs w:val="22"/>
          <w:lang w:val="es-419"/>
        </w:rPr>
      </w:pPr>
      <w:r w:rsidRPr="0018137C">
        <w:rPr>
          <w:color w:val="000000"/>
          <w:szCs w:val="22"/>
          <w:lang w:val="es-419"/>
        </w:rPr>
        <w:t>9.</w:t>
      </w:r>
      <w:r w:rsidRPr="0018137C">
        <w:rPr>
          <w:color w:val="000000"/>
          <w:szCs w:val="22"/>
          <w:lang w:val="es-419"/>
        </w:rPr>
        <w:tab/>
      </w:r>
      <w:r w:rsidRPr="0018137C">
        <w:rPr>
          <w:i/>
          <w:color w:val="000000"/>
          <w:szCs w:val="22"/>
          <w:lang w:val="es-419"/>
        </w:rPr>
        <w:t xml:space="preserve">Invita </w:t>
      </w:r>
      <w:r w:rsidRPr="0018137C">
        <w:rPr>
          <w:color w:val="000000"/>
          <w:szCs w:val="22"/>
          <w:lang w:val="es-419"/>
        </w:rPr>
        <w:t>a las Partes a fortalecer la colaboración con los pueblos indígenas y las comunidades locales, organizaciones de la sociedad civil, grupos de mujeres, jóvenes y otros interesados directos pertinentes, incluido el sector privado, para implementar el Plan Estratégico para la Diversidad Biológica 2011-2020 de manera efectiva;</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color w:val="auto"/>
          <w:sz w:val="22"/>
          <w:szCs w:val="22"/>
          <w:lang w:val="es-419"/>
        </w:rPr>
        <w:t>10.</w:t>
      </w:r>
      <w:r w:rsidRPr="0018137C">
        <w:rPr>
          <w:rFonts w:ascii="Times New Roman" w:hAnsi="Times New Roman"/>
          <w:color w:val="auto"/>
          <w:sz w:val="22"/>
          <w:szCs w:val="22"/>
          <w:lang w:val="es-419"/>
        </w:rPr>
        <w:tab/>
      </w:r>
      <w:r w:rsidRPr="0018137C">
        <w:rPr>
          <w:rFonts w:ascii="Times New Roman" w:hAnsi="Times New Roman"/>
          <w:i/>
          <w:color w:val="auto"/>
          <w:sz w:val="22"/>
          <w:szCs w:val="22"/>
          <w:lang w:val="es-419"/>
        </w:rPr>
        <w:t>Invita</w:t>
      </w:r>
      <w:r w:rsidRPr="0018137C">
        <w:rPr>
          <w:rFonts w:ascii="Times New Roman" w:hAnsi="Times New Roman"/>
          <w:color w:val="auto"/>
          <w:sz w:val="22"/>
          <w:szCs w:val="22"/>
          <w:lang w:val="es-419"/>
        </w:rPr>
        <w:t xml:space="preserve"> a las Partes y otros a integrar asociaciones, coaliciones y alianzas creadas para apoyar la implementación del Plan Estratégico y el logro de las Metas de Aichi para la Diversidad Biológica y contribuir a ellas;</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snapToGrid w:val="0"/>
          <w:kern w:val="22"/>
          <w:szCs w:val="22"/>
          <w:lang w:val="es-419"/>
        </w:rPr>
      </w:pPr>
      <w:r w:rsidRPr="0018137C">
        <w:rPr>
          <w:iCs/>
          <w:snapToGrid w:val="0"/>
          <w:szCs w:val="22"/>
          <w:lang w:val="es-419"/>
        </w:rPr>
        <w:t>11.</w:t>
      </w:r>
      <w:r w:rsidRPr="0018137C">
        <w:rPr>
          <w:iCs/>
          <w:snapToGrid w:val="0"/>
          <w:szCs w:val="22"/>
          <w:lang w:val="es-419"/>
        </w:rPr>
        <w:tab/>
      </w:r>
      <w:r w:rsidRPr="0018137C">
        <w:rPr>
          <w:i/>
          <w:iCs/>
          <w:snapToGrid w:val="0"/>
          <w:szCs w:val="22"/>
          <w:lang w:val="es-419"/>
        </w:rPr>
        <w:t>Alienta</w:t>
      </w:r>
      <w:r w:rsidRPr="0018137C">
        <w:rPr>
          <w:iCs/>
          <w:snapToGrid w:val="0"/>
          <w:szCs w:val="22"/>
          <w:lang w:val="es-419"/>
        </w:rPr>
        <w:t xml:space="preserve"> a las Partes e </w:t>
      </w:r>
      <w:r w:rsidRPr="0018137C">
        <w:rPr>
          <w:i/>
          <w:iCs/>
          <w:snapToGrid w:val="0"/>
          <w:szCs w:val="22"/>
          <w:lang w:val="es-419"/>
        </w:rPr>
        <w:t>invita</w:t>
      </w:r>
      <w:r w:rsidRPr="0018137C">
        <w:rPr>
          <w:iCs/>
          <w:snapToGrid w:val="0"/>
          <w:szCs w:val="22"/>
          <w:lang w:val="es-419"/>
        </w:rPr>
        <w:t xml:space="preserve"> a otros Gobiernos a que, con miras a aportar información para las medidas de nivel nacional, utilicen lo siguiente, según proceda:</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snapToGrid w:val="0"/>
          <w:szCs w:val="22"/>
          <w:lang w:val="es-419"/>
        </w:rPr>
        <w:t>a)</w:t>
      </w:r>
      <w:r w:rsidRPr="0018137C">
        <w:rPr>
          <w:snapToGrid w:val="0"/>
          <w:szCs w:val="22"/>
          <w:lang w:val="es-419"/>
        </w:rPr>
        <w:tab/>
        <w:t xml:space="preserve">Las evaluaciones regionales de la diversidad biológica y los servicios de los ecosistemas para África, las Américas, Asia y el Pacífico y Europa y Asia Central y la Evaluación temática sobre la </w:t>
      </w:r>
      <w:r w:rsidRPr="0018137C">
        <w:rPr>
          <w:snapToGrid w:val="0"/>
          <w:szCs w:val="22"/>
          <w:lang w:val="es-419"/>
        </w:rPr>
        <w:lastRenderedPageBreak/>
        <w:t>degradación y restauración de la tierra de la Plataforma Intergubernamental Científico-Normativa sobre Diversidad Biológica y Servicios de los Ecosistemas;</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snapToGrid w:val="0"/>
          <w:kern w:val="22"/>
          <w:szCs w:val="22"/>
          <w:lang w:val="es-419"/>
        </w:rPr>
      </w:pPr>
      <w:r w:rsidRPr="0018137C">
        <w:rPr>
          <w:snapToGrid w:val="0"/>
          <w:szCs w:val="22"/>
          <w:lang w:val="es-419"/>
        </w:rPr>
        <w:t>b)</w:t>
      </w:r>
      <w:r w:rsidRPr="0018137C">
        <w:rPr>
          <w:snapToGrid w:val="0"/>
          <w:szCs w:val="22"/>
          <w:lang w:val="es-419"/>
        </w:rPr>
        <w:tab/>
        <w:t>La revisión de la información científica actualizada, incluidas sus conclusiones, carencias de información y posibles opciones para acelerar los progresos hacia el logro de las Metas de Aichi para la Diversidad Biológica</w:t>
      </w:r>
      <w:r w:rsidRPr="0018137C">
        <w:rPr>
          <w:rStyle w:val="Refdenotaalpie"/>
          <w:iCs/>
          <w:snapToGrid w:val="0"/>
          <w:kern w:val="22"/>
          <w:szCs w:val="22"/>
          <w:lang w:val="es-419"/>
        </w:rPr>
        <w:footnoteReference w:id="7"/>
      </w:r>
      <w:r w:rsidRPr="0018137C">
        <w:rPr>
          <w:snapToGrid w:val="0"/>
          <w:szCs w:val="22"/>
          <w:lang w:val="es-419"/>
        </w:rPr>
        <w:t>;</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snapToGrid w:val="0"/>
          <w:kern w:val="22"/>
          <w:szCs w:val="22"/>
          <w:lang w:val="es-419"/>
        </w:rPr>
      </w:pPr>
      <w:r w:rsidRPr="0018137C">
        <w:rPr>
          <w:iCs/>
          <w:snapToGrid w:val="0"/>
          <w:szCs w:val="22"/>
          <w:lang w:val="es-419"/>
        </w:rPr>
        <w:t>c)</w:t>
      </w:r>
      <w:r w:rsidRPr="0018137C">
        <w:rPr>
          <w:iCs/>
          <w:snapToGrid w:val="0"/>
          <w:szCs w:val="22"/>
          <w:lang w:val="es-419"/>
        </w:rPr>
        <w:tab/>
        <w:t>Los indicadores adicionales pertinentes para el Plan Estratégico para la Diversidad Biológica 2011</w:t>
      </w:r>
      <w:r w:rsidRPr="0018137C">
        <w:rPr>
          <w:iCs/>
          <w:snapToGrid w:val="0"/>
          <w:szCs w:val="22"/>
          <w:lang w:val="es-419"/>
        </w:rPr>
        <w:noBreakHyphen/>
        <w:t>2020 que se han identificado y aquellos que contienen datos puntuales actualizados</w:t>
      </w:r>
      <w:r w:rsidRPr="0018137C">
        <w:rPr>
          <w:rStyle w:val="Refdenotaalpie"/>
          <w:iCs/>
          <w:snapToGrid w:val="0"/>
          <w:kern w:val="22"/>
          <w:szCs w:val="22"/>
          <w:lang w:val="es-419"/>
        </w:rPr>
        <w:footnoteReference w:id="8"/>
      </w:r>
      <w:r w:rsidRPr="0018137C">
        <w:rPr>
          <w:iCs/>
          <w:snapToGrid w:val="0"/>
          <w:szCs w:val="22"/>
          <w:lang w:val="es-419"/>
        </w:rPr>
        <w:t>;</w:t>
      </w:r>
    </w:p>
    <w:p w:rsidR="00FD1F10" w:rsidRPr="0018137C" w:rsidRDefault="00FD7A33" w:rsidP="0068528E">
      <w:pPr>
        <w:pStyle w:val="Prrafodelista"/>
        <w:suppressLineNumbers/>
        <w:suppressAutoHyphens/>
        <w:kinsoku w:val="0"/>
        <w:overflowPunct w:val="0"/>
        <w:autoSpaceDE w:val="0"/>
        <w:autoSpaceDN w:val="0"/>
        <w:spacing w:before="120" w:after="120"/>
        <w:ind w:left="0" w:firstLine="720"/>
        <w:contextualSpacing w:val="0"/>
        <w:rPr>
          <w:iCs/>
          <w:snapToGrid w:val="0"/>
          <w:kern w:val="22"/>
          <w:szCs w:val="22"/>
          <w:lang w:val="es-419"/>
        </w:rPr>
      </w:pPr>
      <w:r w:rsidRPr="0018137C">
        <w:rPr>
          <w:iCs/>
          <w:snapToGrid w:val="0"/>
          <w:szCs w:val="22"/>
          <w:lang w:val="es-419"/>
        </w:rPr>
        <w:t>12.</w:t>
      </w:r>
      <w:r w:rsidRPr="0018137C">
        <w:rPr>
          <w:iCs/>
          <w:snapToGrid w:val="0"/>
          <w:szCs w:val="22"/>
          <w:lang w:val="es-419"/>
        </w:rPr>
        <w:tab/>
      </w:r>
      <w:r w:rsidRPr="0018137C">
        <w:rPr>
          <w:i/>
          <w:iCs/>
          <w:snapToGrid w:val="0"/>
          <w:szCs w:val="22"/>
          <w:lang w:val="es-419"/>
        </w:rPr>
        <w:t>Insta</w:t>
      </w:r>
      <w:r w:rsidRPr="0018137C">
        <w:rPr>
          <w:iCs/>
          <w:snapToGrid w:val="0"/>
          <w:szCs w:val="22"/>
          <w:lang w:val="es-419"/>
        </w:rPr>
        <w:t xml:space="preserve"> a las Partes e </w:t>
      </w:r>
      <w:r w:rsidRPr="0018137C">
        <w:rPr>
          <w:i/>
          <w:iCs/>
          <w:snapToGrid w:val="0"/>
          <w:szCs w:val="22"/>
          <w:lang w:val="es-419"/>
        </w:rPr>
        <w:t>invita</w:t>
      </w:r>
      <w:r w:rsidRPr="0018137C">
        <w:rPr>
          <w:iCs/>
          <w:snapToGrid w:val="0"/>
          <w:szCs w:val="22"/>
          <w:lang w:val="es-419"/>
        </w:rPr>
        <w:t xml:space="preserve"> a otros Gobiernos a que, según proceda, consideren realizar evaluaciones nacionales de la diversidad biológica y las funciones y servicios de los ecosistemas;</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snapToGrid w:val="0"/>
          <w:kern w:val="22"/>
          <w:szCs w:val="22"/>
          <w:lang w:val="es-419"/>
        </w:rPr>
      </w:pPr>
      <w:r w:rsidRPr="0018137C">
        <w:rPr>
          <w:iCs/>
          <w:snapToGrid w:val="0"/>
          <w:szCs w:val="22"/>
          <w:lang w:val="es-419"/>
        </w:rPr>
        <w:t>13.</w:t>
      </w:r>
      <w:r w:rsidRPr="0018137C">
        <w:rPr>
          <w:iCs/>
          <w:snapToGrid w:val="0"/>
          <w:szCs w:val="22"/>
          <w:lang w:val="es-419"/>
        </w:rPr>
        <w:tab/>
      </w:r>
      <w:r w:rsidRPr="0018137C">
        <w:rPr>
          <w:i/>
          <w:szCs w:val="22"/>
          <w:lang w:val="es-419"/>
        </w:rPr>
        <w:t>Invita</w:t>
      </w:r>
      <w:r w:rsidRPr="0018137C">
        <w:rPr>
          <w:szCs w:val="22"/>
          <w:lang w:val="es-419"/>
        </w:rPr>
        <w:t xml:space="preserve"> a las organizaciones pertinentes y asociados para el desarrollo a que presten apoyo a las Partes en la realización de evaluaciones nacionales de la diversidad biológica y las funciones y servicios de los ecosistemas, como por ejemplo mediante el suministro de recursos técnicos y financieros adecuados, señalando la labor en curso al respecto emprendida en el contexto de la iniciativa Bes-NET con apoyo técnico del Centro Mundial de Vigilancia de la Conservación del Programa de las Naciones Unidas para el Medio Ambiente</w:t>
      </w:r>
      <w:r w:rsidRPr="0018137C">
        <w:rPr>
          <w:kern w:val="22"/>
          <w:szCs w:val="22"/>
          <w:vertAlign w:val="superscript"/>
          <w:lang w:val="es-419"/>
        </w:rPr>
        <w:footnoteReference w:id="9"/>
      </w:r>
      <w:r w:rsidRPr="0018137C">
        <w:rPr>
          <w:szCs w:val="22"/>
          <w:lang w:val="es-419"/>
        </w:rPr>
        <w:t>;</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kern w:val="22"/>
          <w:szCs w:val="22"/>
          <w:lang w:val="es-419"/>
        </w:rPr>
      </w:pPr>
      <w:r w:rsidRPr="0018137C">
        <w:rPr>
          <w:lang w:val="es-419"/>
        </w:rPr>
        <w:t>14.</w:t>
      </w:r>
      <w:r w:rsidRPr="0018137C">
        <w:rPr>
          <w:lang w:val="es-419"/>
        </w:rPr>
        <w:tab/>
      </w:r>
      <w:r w:rsidRPr="0018137C">
        <w:rPr>
          <w:i/>
          <w:lang w:val="es-419"/>
        </w:rPr>
        <w:t>Observando</w:t>
      </w:r>
      <w:r w:rsidRPr="0018137C">
        <w:rPr>
          <w:lang w:val="es-419"/>
        </w:rPr>
        <w:t xml:space="preserve"> la necesidad de mejorar el apoyo político, técnico y financiero, la transferencia de tecnología y la creación de capacidad, </w:t>
      </w:r>
      <w:r w:rsidRPr="0018137C">
        <w:rPr>
          <w:i/>
          <w:lang w:val="es-419"/>
        </w:rPr>
        <w:t>insta</w:t>
      </w:r>
      <w:r w:rsidRPr="0018137C">
        <w:rPr>
          <w:lang w:val="es-419"/>
        </w:rPr>
        <w:t xml:space="preserve"> a las Partes e </w:t>
      </w:r>
      <w:r w:rsidRPr="0018137C">
        <w:rPr>
          <w:i/>
          <w:lang w:val="es-419"/>
        </w:rPr>
        <w:t>invita</w:t>
      </w:r>
      <w:r w:rsidRPr="0018137C">
        <w:rPr>
          <w:lang w:val="es-419"/>
        </w:rPr>
        <w:t xml:space="preserve"> a otros Gobiernos, de conformidad con las circunstancias nacionales, e </w:t>
      </w:r>
      <w:r w:rsidRPr="0018137C">
        <w:rPr>
          <w:i/>
          <w:lang w:val="es-419"/>
        </w:rPr>
        <w:t>invita</w:t>
      </w:r>
      <w:r w:rsidRPr="0018137C">
        <w:rPr>
          <w:lang w:val="es-419"/>
        </w:rPr>
        <w:t xml:space="preserve"> a los pueblos indígenas y las comunidades locales, las organizaciones pertinentes, incluido el sector privado, y otros interesados directos pertinentes a que adopten medidas urgentes de aquí a 2020 para aquellas Metas de Aichi para la Diversidad Biológica, o los elementos de estas, en que es necesario acelerar los progresos, entre otras cosas, por medio de las medidas siguientes, según proceda:</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snapToGrid w:val="0"/>
          <w:szCs w:val="22"/>
          <w:lang w:val="es-419"/>
        </w:rPr>
        <w:t>a)</w:t>
      </w:r>
      <w:r w:rsidRPr="0018137C">
        <w:rPr>
          <w:snapToGrid w:val="0"/>
          <w:szCs w:val="22"/>
          <w:lang w:val="es-419"/>
        </w:rPr>
        <w:tab/>
        <w:t>Para la Meta 1, desarrollar estrategias de comunicación y herramientas para la educación y la concienciación en relación con la diversidad biológica como una forma de promover cambios de comportamiento para la conservación y utilización sostenible de la diversidad biológica, incluida la producción y el consumo sostenibles, observando que si bien ahora se dispone de más información relacionada con la diversidad biológica, esa información no está llegando al público general;</w:t>
      </w:r>
    </w:p>
    <w:p w:rsidR="00504DDD" w:rsidRPr="0018137C" w:rsidRDefault="00FD7A33" w:rsidP="00FD7A33">
      <w:pPr>
        <w:suppressLineNumbers/>
        <w:suppressAutoHyphens/>
        <w:kinsoku w:val="0"/>
        <w:overflowPunct w:val="0"/>
        <w:autoSpaceDE w:val="0"/>
        <w:autoSpaceDN w:val="0"/>
        <w:spacing w:before="120" w:after="120"/>
        <w:ind w:firstLine="720"/>
        <w:rPr>
          <w:kern w:val="22"/>
          <w:szCs w:val="22"/>
          <w:lang w:val="es-419"/>
        </w:rPr>
      </w:pPr>
      <w:r w:rsidRPr="0018137C">
        <w:rPr>
          <w:lang w:val="es-419"/>
        </w:rPr>
        <w:t>b)</w:t>
      </w:r>
      <w:r w:rsidRPr="0018137C">
        <w:rPr>
          <w:lang w:val="es-419"/>
        </w:rPr>
        <w:tab/>
        <w:t>Para la Meta 3, eliminar, eliminar gradualmente o reformar los incentivos perjudiciales que contribuyen a la degradación de la diversidad biológica y desarrollar y aplicar incentivos positivos que recompensen la adopción de prácticas sostenibles de conformidad con el Convenio y otras obligaciones internacionales, teniendo en cuenta las condiciones socioeconómicas nacionales;</w:t>
      </w:r>
    </w:p>
    <w:p w:rsidR="00FD7A33" w:rsidRPr="0018137C" w:rsidRDefault="00FD7A33" w:rsidP="00FD7A33">
      <w:pPr>
        <w:suppressLineNumbers/>
        <w:suppressAutoHyphens/>
        <w:kinsoku w:val="0"/>
        <w:overflowPunct w:val="0"/>
        <w:autoSpaceDE w:val="0"/>
        <w:autoSpaceDN w:val="0"/>
        <w:spacing w:before="120" w:after="120"/>
        <w:ind w:firstLine="720"/>
        <w:rPr>
          <w:kern w:val="22"/>
          <w:szCs w:val="22"/>
          <w:lang w:val="es-419"/>
        </w:rPr>
      </w:pPr>
      <w:r w:rsidRPr="0018137C">
        <w:rPr>
          <w:lang w:val="es-419"/>
        </w:rPr>
        <w:t>c)</w:t>
      </w:r>
      <w:r w:rsidRPr="0018137C">
        <w:rPr>
          <w:lang w:val="es-419"/>
        </w:rPr>
        <w:tab/>
        <w:t>Para la Meta 5, observando que si bien la tasa anual de pérdida neta de bosques se redujo a la mitad, se requieren mayores esfuerzos para hacer frente a la degradación de los bosques y la deforestación a nivel regional, así como mayores esfuerzos para reducir la degradación y pérdida de otros ecosistemas;</w:t>
      </w:r>
    </w:p>
    <w:p w:rsidR="00FD7A33" w:rsidRPr="0018137C" w:rsidRDefault="00FD7A33" w:rsidP="00FD7A33">
      <w:pPr>
        <w:suppressLineNumbers/>
        <w:suppressAutoHyphens/>
        <w:kinsoku w:val="0"/>
        <w:overflowPunct w:val="0"/>
        <w:autoSpaceDE w:val="0"/>
        <w:autoSpaceDN w:val="0"/>
        <w:spacing w:before="120" w:after="120"/>
        <w:ind w:firstLine="720"/>
        <w:rPr>
          <w:kern w:val="22"/>
          <w:szCs w:val="22"/>
          <w:lang w:val="es-419"/>
        </w:rPr>
      </w:pPr>
      <w:r w:rsidRPr="0018137C">
        <w:rPr>
          <w:lang w:val="es-419"/>
        </w:rPr>
        <w:t>d)</w:t>
      </w:r>
      <w:r w:rsidRPr="0018137C">
        <w:rPr>
          <w:lang w:val="es-419"/>
        </w:rPr>
        <w:tab/>
        <w:t>Para la Meta 6, incrementar los esfuerzos para revertir la disminución de la sostenibilidad de las pesquerías mundiales;</w:t>
      </w:r>
    </w:p>
    <w:p w:rsidR="00FD7A33" w:rsidRPr="0018137C" w:rsidRDefault="00FD7A33" w:rsidP="00FD7A33">
      <w:pPr>
        <w:suppressLineNumbers/>
        <w:suppressAutoHyphens/>
        <w:kinsoku w:val="0"/>
        <w:overflowPunct w:val="0"/>
        <w:autoSpaceDE w:val="0"/>
        <w:autoSpaceDN w:val="0"/>
        <w:spacing w:before="120" w:after="120"/>
        <w:ind w:firstLine="720"/>
        <w:rPr>
          <w:snapToGrid w:val="0"/>
          <w:kern w:val="22"/>
          <w:szCs w:val="22"/>
          <w:lang w:val="es-419"/>
        </w:rPr>
      </w:pPr>
      <w:r w:rsidRPr="0018137C">
        <w:rPr>
          <w:snapToGrid w:val="0"/>
          <w:szCs w:val="22"/>
          <w:lang w:val="es-419"/>
        </w:rPr>
        <w:t>e)</w:t>
      </w:r>
      <w:r w:rsidRPr="0018137C">
        <w:rPr>
          <w:snapToGrid w:val="0"/>
          <w:szCs w:val="22"/>
          <w:lang w:val="es-419"/>
        </w:rPr>
        <w:tab/>
        <w:t xml:space="preserve">Para la Meta 7, promover la conservación y la utilización sostenible de la diversidad biológica de los suelos, por ejemplo, a través de la contribución a la Iniciativa internacional para la conservación y la utilización sostenible de la diversidad biológica de los suelos coordinada por la </w:t>
      </w:r>
      <w:r w:rsidRPr="0018137C">
        <w:rPr>
          <w:snapToGrid w:val="0"/>
          <w:szCs w:val="22"/>
          <w:lang w:val="es-419"/>
        </w:rPr>
        <w:lastRenderedPageBreak/>
        <w:t>Organización de las Naciones Unidas para la Alimentación y la Agricultura</w:t>
      </w:r>
      <w:r w:rsidRPr="0018137C">
        <w:rPr>
          <w:rStyle w:val="Refdenotaalpie"/>
          <w:iCs/>
          <w:snapToGrid w:val="0"/>
          <w:kern w:val="22"/>
          <w:szCs w:val="22"/>
          <w:lang w:val="es-419"/>
        </w:rPr>
        <w:footnoteReference w:id="10"/>
      </w:r>
      <w:r w:rsidRPr="0018137C">
        <w:rPr>
          <w:snapToGrid w:val="0"/>
          <w:szCs w:val="22"/>
          <w:lang w:val="es-419"/>
        </w:rPr>
        <w:t>; y mejorar la aplicación y el seguimiento de la gestión forestal sostenible y la sostenibilidad del comercio de madera, especialmente en los países en desarrollo y las regiones tropicales;</w:t>
      </w:r>
    </w:p>
    <w:p w:rsidR="00FD7A33" w:rsidRPr="0018137C" w:rsidRDefault="00FD7A33" w:rsidP="00FD7A33">
      <w:pPr>
        <w:suppressLineNumbers/>
        <w:suppressAutoHyphens/>
        <w:kinsoku w:val="0"/>
        <w:overflowPunct w:val="0"/>
        <w:autoSpaceDE w:val="0"/>
        <w:autoSpaceDN w:val="0"/>
        <w:spacing w:before="120" w:after="120"/>
        <w:ind w:firstLine="720"/>
        <w:rPr>
          <w:iCs/>
          <w:snapToGrid w:val="0"/>
          <w:kern w:val="22"/>
          <w:szCs w:val="22"/>
          <w:lang w:val="es-419"/>
        </w:rPr>
      </w:pPr>
      <w:r w:rsidRPr="0018137C">
        <w:rPr>
          <w:iCs/>
          <w:snapToGrid w:val="0"/>
          <w:szCs w:val="22"/>
          <w:lang w:val="es-419"/>
        </w:rPr>
        <w:t>f)</w:t>
      </w:r>
      <w:r w:rsidRPr="0018137C">
        <w:rPr>
          <w:iCs/>
          <w:snapToGrid w:val="0"/>
          <w:szCs w:val="22"/>
          <w:lang w:val="es-419"/>
        </w:rPr>
        <w:tab/>
        <w:t>Para la Meta 8, aumentar las medidas para reducir la contaminación, como aquella que produce el exceso de nutrientes;</w:t>
      </w:r>
    </w:p>
    <w:p w:rsidR="00FD7A33" w:rsidRPr="0018137C" w:rsidRDefault="00FD7A33" w:rsidP="00FD7A33">
      <w:pPr>
        <w:suppressLineNumbers/>
        <w:suppressAutoHyphens/>
        <w:kinsoku w:val="0"/>
        <w:overflowPunct w:val="0"/>
        <w:autoSpaceDE w:val="0"/>
        <w:autoSpaceDN w:val="0"/>
        <w:spacing w:before="120" w:after="120"/>
        <w:ind w:firstLine="720"/>
        <w:rPr>
          <w:iCs/>
          <w:snapToGrid w:val="0"/>
          <w:kern w:val="22"/>
          <w:szCs w:val="22"/>
          <w:lang w:val="es-419"/>
        </w:rPr>
      </w:pPr>
      <w:r w:rsidRPr="0018137C">
        <w:rPr>
          <w:iCs/>
          <w:snapToGrid w:val="0"/>
          <w:szCs w:val="22"/>
          <w:lang w:val="es-419"/>
        </w:rPr>
        <w:t>g)</w:t>
      </w:r>
      <w:r w:rsidRPr="0018137C">
        <w:rPr>
          <w:iCs/>
          <w:snapToGrid w:val="0"/>
          <w:szCs w:val="22"/>
          <w:lang w:val="es-419"/>
        </w:rPr>
        <w:tab/>
        <w:t>Para la Meta 9, centrar más la atención en evitar la propagación de especies exóticas invasoras y erradicar aquellas que ya están presentes;</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iCs/>
          <w:snapToGrid w:val="0"/>
          <w:szCs w:val="22"/>
          <w:lang w:val="es-419"/>
        </w:rPr>
        <w:t>h)</w:t>
      </w:r>
      <w:r w:rsidRPr="0018137C">
        <w:rPr>
          <w:iCs/>
          <w:snapToGrid w:val="0"/>
          <w:szCs w:val="22"/>
          <w:lang w:val="es-419"/>
        </w:rPr>
        <w:tab/>
        <w:t>Para la Meta 10, redoblar los esfuerzos para evitar la disminución mundial continua de la cobertura de corales vivos;</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snapToGrid w:val="0"/>
          <w:szCs w:val="22"/>
          <w:lang w:val="es-419"/>
        </w:rPr>
        <w:t>Para las Metas 11 y 12, observando que no todas las ecorregiones están incluidas adecuadamente en áreas protegidas, la mayoría de las áreas protegidas no están bien conectadas y la mayoría de las Partes no ha evaluado la eficacia de la gestión de la mayor parte de sus áreas protegidas, y que la prevención mundial de la pérdida de especies debería centrarse en las regiones específicas del mundo donde se encuentra la mayor diversidad de especies o donde las especies están más amenazadas, centrarse en la protección, gestión y conservación de las áreas más importantes para la diversidad biológica, como por ejemplo a través de las iniciativas de la Alianza para Cero Extinción</w:t>
      </w:r>
      <w:r w:rsidRPr="0018137C">
        <w:rPr>
          <w:rStyle w:val="Refdenotaalpie"/>
          <w:snapToGrid w:val="0"/>
          <w:kern w:val="22"/>
          <w:szCs w:val="22"/>
          <w:lang w:val="es-419"/>
        </w:rPr>
        <w:footnoteReference w:id="11"/>
      </w:r>
      <w:r w:rsidRPr="0018137C">
        <w:rPr>
          <w:snapToGrid w:val="0"/>
          <w:szCs w:val="22"/>
          <w:lang w:val="es-419"/>
        </w:rPr>
        <w:t xml:space="preserve"> y otros, por medio de áreas protegidas, otras medidas eficaces de conservación basadas en áreas y medidas de conservación para especies específicas;</w:t>
      </w:r>
    </w:p>
    <w:p w:rsidR="00FD7A33" w:rsidRPr="0018137C" w:rsidRDefault="00FD7A33" w:rsidP="003D3030">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snapToGrid w:val="0"/>
          <w:szCs w:val="22"/>
          <w:lang w:val="es-419"/>
        </w:rPr>
        <w:t>j)</w:t>
      </w:r>
      <w:r w:rsidRPr="0018137C">
        <w:rPr>
          <w:snapToGrid w:val="0"/>
          <w:szCs w:val="22"/>
          <w:lang w:val="es-419"/>
        </w:rPr>
        <w:tab/>
        <w:t xml:space="preserve">Para la Meta 13, observando que hay un aumento en el número de recursos fitogenéticos para la alimentación y la agricultura en establecimientos de conservación </w:t>
      </w:r>
      <w:r w:rsidRPr="0018137C">
        <w:rPr>
          <w:i/>
          <w:snapToGrid w:val="0"/>
          <w:szCs w:val="22"/>
          <w:lang w:val="es-419"/>
        </w:rPr>
        <w:t>ex situ</w:t>
      </w:r>
      <w:r w:rsidRPr="0018137C">
        <w:rPr>
          <w:snapToGrid w:val="0"/>
          <w:szCs w:val="22"/>
          <w:lang w:val="es-419"/>
        </w:rPr>
        <w:t xml:space="preserve">, intensificar las medidas tendientes a evitar que se continúe reduciendo la variación genética de razas de animales de granja y domesticados, y promover la conservación </w:t>
      </w:r>
      <w:r w:rsidRPr="0018137C">
        <w:rPr>
          <w:i/>
          <w:snapToGrid w:val="0"/>
          <w:szCs w:val="22"/>
          <w:lang w:val="es-419"/>
        </w:rPr>
        <w:t>in situ</w:t>
      </w:r>
      <w:r w:rsidRPr="0018137C">
        <w:rPr>
          <w:snapToGrid w:val="0"/>
          <w:szCs w:val="22"/>
          <w:lang w:val="es-419"/>
        </w:rPr>
        <w:t xml:space="preserve"> en centros de origen y la diversidad genética;</w:t>
      </w:r>
    </w:p>
    <w:p w:rsidR="00A543CA" w:rsidRPr="0018137C" w:rsidRDefault="00FD7A33">
      <w:pPr>
        <w:pStyle w:val="Prrafodelista"/>
        <w:suppressLineNumbers/>
        <w:suppressAutoHyphens/>
        <w:kinsoku w:val="0"/>
        <w:overflowPunct w:val="0"/>
        <w:autoSpaceDE w:val="0"/>
        <w:autoSpaceDN w:val="0"/>
        <w:spacing w:before="120" w:after="120"/>
        <w:ind w:left="0" w:firstLine="720"/>
        <w:contextualSpacing w:val="0"/>
        <w:rPr>
          <w:snapToGrid w:val="0"/>
          <w:spacing w:val="-4"/>
          <w:kern w:val="22"/>
          <w:szCs w:val="22"/>
          <w:lang w:val="es-419"/>
        </w:rPr>
      </w:pPr>
      <w:r w:rsidRPr="0018137C">
        <w:rPr>
          <w:szCs w:val="22"/>
          <w:lang w:val="es-419"/>
        </w:rPr>
        <w:t>k)</w:t>
      </w:r>
      <w:r w:rsidRPr="0018137C">
        <w:rPr>
          <w:szCs w:val="22"/>
          <w:lang w:val="es-419"/>
        </w:rPr>
        <w:tab/>
        <w:t>Para las Metas 14 y 15, acelerar la aplicación del plan de acción a corto plazo sobre restauración de los ecosistemas</w:t>
      </w:r>
      <w:r w:rsidRPr="0018137C">
        <w:rPr>
          <w:rStyle w:val="Refdenotaalpie"/>
          <w:snapToGrid w:val="0"/>
          <w:kern w:val="22"/>
          <w:szCs w:val="22"/>
          <w:lang w:val="es-419"/>
        </w:rPr>
        <w:footnoteReference w:id="12"/>
      </w:r>
      <w:r w:rsidRPr="0018137C">
        <w:rPr>
          <w:szCs w:val="22"/>
          <w:lang w:val="es-419"/>
        </w:rPr>
        <w:t>, sobre la base de las conclusiones de la Evaluación temática sobre la degradación y restauración de la tierra de la Plataforma Intergubernamental Científico-Normativa sobre Diversidad Biológica y Servicios de los Ecosistemas, y tomando nota de la Agenda de Acción Panafricana sobre la Restauración de los Ecosistemas para Aumentar la Resiliencia</w:t>
      </w:r>
      <w:r w:rsidR="009B4683" w:rsidRPr="0018137C">
        <w:rPr>
          <w:rStyle w:val="Refdenotaalpie"/>
          <w:snapToGrid w:val="0"/>
          <w:spacing w:val="-4"/>
          <w:kern w:val="22"/>
          <w:szCs w:val="22"/>
          <w:lang w:val="es-419"/>
        </w:rPr>
        <w:footnoteReference w:id="13"/>
      </w:r>
      <w:r w:rsidRPr="0018137C">
        <w:rPr>
          <w:szCs w:val="22"/>
          <w:lang w:val="es-419"/>
        </w:rPr>
        <w:t>, respaldada por la Cumbre Ministerial Africana sobre Diversidad Biológica 2018</w:t>
      </w:r>
      <w:r w:rsidR="009B4683" w:rsidRPr="0018137C">
        <w:rPr>
          <w:rStyle w:val="Refdenotaalpie"/>
          <w:kern w:val="22"/>
          <w:szCs w:val="22"/>
          <w:lang w:val="es-419"/>
        </w:rPr>
        <w:footnoteReference w:id="14"/>
      </w:r>
      <w:r w:rsidRPr="0018137C">
        <w:rPr>
          <w:szCs w:val="22"/>
          <w:lang w:val="es-419"/>
        </w:rPr>
        <w:t>;</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snapToGrid w:val="0"/>
          <w:szCs w:val="22"/>
          <w:lang w:val="es-419"/>
        </w:rPr>
        <w:t>l)</w:t>
      </w:r>
      <w:r w:rsidRPr="0018137C">
        <w:rPr>
          <w:snapToGrid w:val="0"/>
          <w:szCs w:val="22"/>
          <w:lang w:val="es-419"/>
        </w:rPr>
        <w:tab/>
        <w:t xml:space="preserve">Para la Meta 18, intensificar los esfuerzos relativos a la protección y el respeto de los conocimientos tradicionales y utilizar la información que figura en la publicación </w:t>
      </w:r>
      <w:r w:rsidRPr="0018137C">
        <w:rPr>
          <w:i/>
          <w:snapToGrid w:val="0"/>
          <w:szCs w:val="22"/>
          <w:lang w:val="es-419"/>
        </w:rPr>
        <w:t>Perspectivas Locales sobre la Diversidad Biológica</w:t>
      </w:r>
      <w:r w:rsidRPr="0018137C">
        <w:rPr>
          <w:rStyle w:val="Refdenotaalpie"/>
          <w:snapToGrid w:val="0"/>
          <w:kern w:val="22"/>
          <w:szCs w:val="22"/>
          <w:lang w:val="es-419"/>
        </w:rPr>
        <w:footnoteReference w:id="15"/>
      </w:r>
      <w:r w:rsidRPr="0018137C">
        <w:rPr>
          <w:snapToGrid w:val="0"/>
          <w:szCs w:val="22"/>
          <w:lang w:val="es-419"/>
        </w:rPr>
        <w:t>, entre otras cosas, sobre la utilización consuetudinaria sostenible por los pueblos indígenas y las comunidades locales para contribuir a la presentación de informes actualizados sobre los progresos en la consecución de las Metas de Aichi para la Diversidad Biológica;</w:t>
      </w:r>
    </w:p>
    <w:p w:rsidR="00F60E21" w:rsidRPr="0018137C" w:rsidRDefault="00F60E21" w:rsidP="00FD7A33">
      <w:pPr>
        <w:pStyle w:val="Prrafodelista"/>
        <w:suppressLineNumbers/>
        <w:suppressAutoHyphens/>
        <w:kinsoku w:val="0"/>
        <w:overflowPunct w:val="0"/>
        <w:autoSpaceDE w:val="0"/>
        <w:autoSpaceDN w:val="0"/>
        <w:spacing w:before="120" w:after="120"/>
        <w:ind w:left="0" w:firstLine="720"/>
        <w:contextualSpacing w:val="0"/>
        <w:rPr>
          <w:snapToGrid w:val="0"/>
          <w:kern w:val="22"/>
          <w:szCs w:val="22"/>
          <w:lang w:val="es-419"/>
        </w:rPr>
      </w:pPr>
      <w:r w:rsidRPr="0018137C">
        <w:rPr>
          <w:snapToGrid w:val="0"/>
          <w:szCs w:val="22"/>
          <w:lang w:val="es-419"/>
        </w:rPr>
        <w:t>m)</w:t>
      </w:r>
      <w:r w:rsidRPr="0018137C">
        <w:rPr>
          <w:snapToGrid w:val="0"/>
          <w:szCs w:val="22"/>
          <w:lang w:val="es-419"/>
        </w:rPr>
        <w:tab/>
        <w:t>Para la Meta 19, continuar promoviendo y facilitando la movilización de información y datos de acceso abierto sobre diversidad biológica, teniendo en cuenta la orientación voluntaria para mejorar la accesibilidad de la información y los datos sobre diversidad biológica</w:t>
      </w:r>
      <w:r w:rsidRPr="0018137C">
        <w:rPr>
          <w:rStyle w:val="Refdenotaalpie"/>
          <w:snapToGrid w:val="0"/>
          <w:kern w:val="22"/>
          <w:szCs w:val="22"/>
          <w:lang w:val="es-419"/>
        </w:rPr>
        <w:footnoteReference w:id="16"/>
      </w:r>
      <w:r w:rsidRPr="0018137C">
        <w:rPr>
          <w:snapToGrid w:val="0"/>
          <w:szCs w:val="22"/>
          <w:lang w:val="es-419"/>
        </w:rPr>
        <w:t>;</w:t>
      </w:r>
    </w:p>
    <w:p w:rsidR="00FD7A33" w:rsidRPr="0018137C" w:rsidRDefault="00FD7A33" w:rsidP="00FD7A33">
      <w:pPr>
        <w:suppressLineNumbers/>
        <w:suppressAutoHyphens/>
        <w:kinsoku w:val="0"/>
        <w:overflowPunct w:val="0"/>
        <w:autoSpaceDE w:val="0"/>
        <w:autoSpaceDN w:val="0"/>
        <w:spacing w:before="120" w:after="120"/>
        <w:ind w:firstLine="709"/>
        <w:rPr>
          <w:b/>
          <w:snapToGrid w:val="0"/>
          <w:kern w:val="22"/>
          <w:szCs w:val="22"/>
          <w:lang w:val="es-419"/>
        </w:rPr>
      </w:pPr>
      <w:r w:rsidRPr="0018137C">
        <w:rPr>
          <w:iCs/>
          <w:snapToGrid w:val="0"/>
          <w:szCs w:val="22"/>
          <w:lang w:val="es-419"/>
        </w:rPr>
        <w:t>15.</w:t>
      </w:r>
      <w:r w:rsidRPr="0018137C">
        <w:rPr>
          <w:iCs/>
          <w:snapToGrid w:val="0"/>
          <w:szCs w:val="22"/>
          <w:lang w:val="es-419"/>
        </w:rPr>
        <w:tab/>
      </w:r>
      <w:r w:rsidRPr="0018137C">
        <w:rPr>
          <w:i/>
          <w:iCs/>
          <w:snapToGrid w:val="0"/>
          <w:szCs w:val="22"/>
          <w:lang w:val="es-419"/>
        </w:rPr>
        <w:t>Insta</w:t>
      </w:r>
      <w:r w:rsidRPr="0018137C">
        <w:rPr>
          <w:iCs/>
          <w:snapToGrid w:val="0"/>
          <w:szCs w:val="22"/>
          <w:lang w:val="es-419"/>
        </w:rPr>
        <w:t xml:space="preserve"> a las Partes e </w:t>
      </w:r>
      <w:r w:rsidRPr="0018137C">
        <w:rPr>
          <w:i/>
          <w:iCs/>
          <w:snapToGrid w:val="0"/>
          <w:szCs w:val="22"/>
          <w:lang w:val="es-419"/>
        </w:rPr>
        <w:t>invita</w:t>
      </w:r>
      <w:r w:rsidRPr="0018137C">
        <w:rPr>
          <w:iCs/>
          <w:snapToGrid w:val="0"/>
          <w:szCs w:val="22"/>
          <w:lang w:val="es-419"/>
        </w:rPr>
        <w:t xml:space="preserve"> a otros Gobiernos y organizaciones pertinentes a:</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color w:val="000000"/>
          <w:kern w:val="22"/>
          <w:szCs w:val="22"/>
          <w:lang w:val="es-419"/>
        </w:rPr>
      </w:pPr>
      <w:r w:rsidRPr="0018137C">
        <w:rPr>
          <w:szCs w:val="22"/>
          <w:lang w:val="es-419"/>
        </w:rPr>
        <w:t>a)</w:t>
      </w:r>
      <w:r w:rsidRPr="0018137C">
        <w:rPr>
          <w:szCs w:val="22"/>
          <w:lang w:val="es-419"/>
        </w:rPr>
        <w:tab/>
        <w:t xml:space="preserve">Fortalecer las capacidades de los puntos focales nacionales para el Convenio sobre la Diversidad Biológica y los encargados de la adopción de decisiones para que puedan utilizar eficazmente las </w:t>
      </w:r>
      <w:r w:rsidRPr="0018137C">
        <w:rPr>
          <w:szCs w:val="22"/>
          <w:lang w:val="es-419"/>
        </w:rPr>
        <w:lastRenderedPageBreak/>
        <w:t>conclusiones de las evaluaciones de la Plataforma Intergubernamental Científico-Normativa sobre Diversidad Biológica y Servicios de los Ecosistemas;</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color w:val="000000"/>
          <w:kern w:val="22"/>
          <w:szCs w:val="22"/>
          <w:lang w:val="es-419"/>
        </w:rPr>
      </w:pPr>
      <w:r w:rsidRPr="0018137C">
        <w:rPr>
          <w:color w:val="000000"/>
          <w:szCs w:val="22"/>
          <w:lang w:val="es-419"/>
        </w:rPr>
        <w:t>b)</w:t>
      </w:r>
      <w:r w:rsidRPr="0018137C">
        <w:rPr>
          <w:color w:val="000000"/>
          <w:szCs w:val="22"/>
          <w:lang w:val="es-419"/>
        </w:rPr>
        <w:tab/>
        <w:t>Facilitar los enfoques integrados para las investigaciones en materia de diversidad biológica, incluidas las investigaciones sobre las interacciones entre los impulsores indirectos y directos de la pérdida de diversidad biológica y sus efectos sobre ella, las funciones y servicios de los ecosistemas y su contribución al bienestar humano;</w:t>
      </w:r>
    </w:p>
    <w:p w:rsidR="00FD7A33" w:rsidRPr="0018137C" w:rsidRDefault="00FD7A33" w:rsidP="00FD7A33">
      <w:pPr>
        <w:suppressLineNumbers/>
        <w:suppressAutoHyphens/>
        <w:kinsoku w:val="0"/>
        <w:overflowPunct w:val="0"/>
        <w:autoSpaceDE w:val="0"/>
        <w:autoSpaceDN w:val="0"/>
        <w:spacing w:before="120" w:after="120"/>
        <w:ind w:firstLine="720"/>
        <w:rPr>
          <w:iCs/>
          <w:snapToGrid w:val="0"/>
          <w:kern w:val="22"/>
          <w:szCs w:val="22"/>
          <w:lang w:val="es-419"/>
        </w:rPr>
      </w:pPr>
      <w:r w:rsidRPr="0018137C">
        <w:rPr>
          <w:color w:val="000000"/>
          <w:szCs w:val="22"/>
          <w:lang w:val="es-419"/>
        </w:rPr>
        <w:t>16.</w:t>
      </w:r>
      <w:r w:rsidRPr="0018137C">
        <w:rPr>
          <w:color w:val="000000"/>
          <w:szCs w:val="22"/>
          <w:lang w:val="es-419"/>
        </w:rPr>
        <w:tab/>
      </w:r>
      <w:r w:rsidRPr="0018137C">
        <w:rPr>
          <w:i/>
          <w:szCs w:val="22"/>
          <w:lang w:val="es-419"/>
        </w:rPr>
        <w:t>Reconoce</w:t>
      </w:r>
      <w:r w:rsidRPr="0018137C">
        <w:rPr>
          <w:szCs w:val="22"/>
          <w:lang w:val="es-419"/>
        </w:rPr>
        <w:t xml:space="preserve"> que es necesario emplear de manera más eficaz y sistemática los mecanismos de apoyo identificados en el Plan Estratégico para la Diversidad Biológica 2011-2020</w:t>
      </w:r>
      <w:r w:rsidRPr="0018137C">
        <w:rPr>
          <w:rStyle w:val="Refdenotaalpie"/>
          <w:iCs/>
          <w:snapToGrid w:val="0"/>
          <w:kern w:val="22"/>
          <w:szCs w:val="22"/>
          <w:lang w:val="es-419"/>
        </w:rPr>
        <w:footnoteReference w:id="17"/>
      </w:r>
      <w:r w:rsidRPr="0018137C">
        <w:rPr>
          <w:szCs w:val="22"/>
          <w:lang w:val="es-419"/>
        </w:rPr>
        <w:t xml:space="preserve"> para facilitar la adopción de medidas sobre las cuestiones señaladas en los párrafos 11, 12 y 13;</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es-419"/>
        </w:rPr>
      </w:pPr>
      <w:r w:rsidRPr="0018137C">
        <w:rPr>
          <w:rFonts w:ascii="Times New Roman" w:hAnsi="Times New Roman"/>
          <w:iCs/>
          <w:color w:val="auto"/>
          <w:sz w:val="22"/>
          <w:szCs w:val="22"/>
          <w:lang w:val="es-419"/>
        </w:rPr>
        <w:t>17.</w:t>
      </w:r>
      <w:r w:rsidRPr="0018137C">
        <w:rPr>
          <w:rFonts w:ascii="Times New Roman" w:hAnsi="Times New Roman"/>
          <w:iCs/>
          <w:color w:val="auto"/>
          <w:sz w:val="22"/>
          <w:szCs w:val="22"/>
          <w:lang w:val="es-419"/>
        </w:rPr>
        <w:tab/>
      </w:r>
      <w:r w:rsidRPr="0018137C">
        <w:rPr>
          <w:rFonts w:ascii="Times New Roman" w:hAnsi="Times New Roman"/>
          <w:i/>
          <w:color w:val="auto"/>
          <w:sz w:val="22"/>
          <w:szCs w:val="22"/>
          <w:lang w:val="es-419"/>
        </w:rPr>
        <w:t>Insta</w:t>
      </w:r>
      <w:r w:rsidRPr="0018137C">
        <w:rPr>
          <w:rFonts w:ascii="Times New Roman" w:hAnsi="Times New Roman"/>
          <w:color w:val="auto"/>
          <w:sz w:val="22"/>
          <w:szCs w:val="22"/>
          <w:lang w:val="es-419"/>
        </w:rPr>
        <w:t xml:space="preserve"> a las Partes e </w:t>
      </w:r>
      <w:r w:rsidRPr="0018137C">
        <w:rPr>
          <w:rFonts w:ascii="Times New Roman" w:hAnsi="Times New Roman"/>
          <w:i/>
          <w:color w:val="auto"/>
          <w:sz w:val="22"/>
          <w:szCs w:val="22"/>
          <w:lang w:val="es-419"/>
        </w:rPr>
        <w:t>invita</w:t>
      </w:r>
      <w:r w:rsidRPr="0018137C">
        <w:rPr>
          <w:rFonts w:ascii="Times New Roman" w:hAnsi="Times New Roman"/>
          <w:color w:val="auto"/>
          <w:sz w:val="22"/>
          <w:szCs w:val="22"/>
          <w:lang w:val="es-419"/>
        </w:rPr>
        <w:t xml:space="preserve"> a otros Gobiernos, de conformidad con las circunstancias y prioridades nacionales, e </w:t>
      </w:r>
      <w:r w:rsidRPr="0018137C">
        <w:rPr>
          <w:rFonts w:ascii="Times New Roman" w:hAnsi="Times New Roman"/>
          <w:i/>
          <w:iCs/>
          <w:color w:val="auto"/>
          <w:sz w:val="22"/>
          <w:szCs w:val="22"/>
          <w:lang w:val="es-419"/>
        </w:rPr>
        <w:t>invita</w:t>
      </w:r>
      <w:r w:rsidRPr="0018137C">
        <w:rPr>
          <w:rFonts w:ascii="Times New Roman" w:hAnsi="Times New Roman"/>
          <w:color w:val="auto"/>
          <w:sz w:val="22"/>
          <w:szCs w:val="22"/>
          <w:lang w:val="es-419"/>
        </w:rPr>
        <w:t xml:space="preserve"> a otras organizaciones pertinentes, pueblos indígenas y comunidades locales e interesados directos a hacer uso de las opciones que figuran en el anexo de la presente decisión, según proceda;</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snapToGrid w:val="0"/>
          <w:kern w:val="22"/>
          <w:szCs w:val="22"/>
          <w:lang w:val="es-419"/>
        </w:rPr>
      </w:pPr>
      <w:r w:rsidRPr="0018137C">
        <w:rPr>
          <w:iCs/>
          <w:snapToGrid w:val="0"/>
          <w:szCs w:val="22"/>
          <w:lang w:val="es-419"/>
        </w:rPr>
        <w:t>18.</w:t>
      </w:r>
      <w:r w:rsidRPr="0018137C">
        <w:rPr>
          <w:iCs/>
          <w:snapToGrid w:val="0"/>
          <w:szCs w:val="22"/>
          <w:lang w:val="es-419"/>
        </w:rPr>
        <w:tab/>
      </w:r>
      <w:r w:rsidRPr="0018137C">
        <w:rPr>
          <w:i/>
          <w:iCs/>
          <w:snapToGrid w:val="0"/>
          <w:szCs w:val="22"/>
          <w:lang w:val="es-419"/>
        </w:rPr>
        <w:t>Pide</w:t>
      </w:r>
      <w:r w:rsidRPr="0018137C">
        <w:rPr>
          <w:iCs/>
          <w:snapToGrid w:val="0"/>
          <w:szCs w:val="22"/>
          <w:lang w:val="es-419"/>
        </w:rPr>
        <w:t xml:space="preserve"> a la Secretaria Ejecutiva que comunique, a través del sistema de las Naciones Unidas, incluidos el Foro Político de Alto Nivel sobre el Desarrollo Sostenible y otros acuerdos ambientales multilaterales pertinentes, que no lograr el Plan Estratégico para la Diversidad Biológica 2011-2020 pone en peligro el logro de la Agenda 2030 para el Desarrollo Sostenible, y que, por lo tanto, se requieren medidas urgentes, incluida la consecución de las metas de movilización de recursos</w:t>
      </w:r>
      <w:r w:rsidR="00115474" w:rsidRPr="0018137C">
        <w:rPr>
          <w:rStyle w:val="Refdenotaalpie"/>
          <w:iCs/>
          <w:snapToGrid w:val="0"/>
          <w:kern w:val="22"/>
          <w:szCs w:val="22"/>
          <w:lang w:val="es-419"/>
        </w:rPr>
        <w:footnoteReference w:id="18"/>
      </w:r>
      <w:r w:rsidRPr="0018137C">
        <w:rPr>
          <w:iCs/>
          <w:snapToGrid w:val="0"/>
          <w:szCs w:val="22"/>
          <w:lang w:val="es-419"/>
        </w:rPr>
        <w:t>, para alcanzar las Metas de Aichi para la Diversidad Biológica y salvaguardar los sistemas que sustentan la vida en el planeta;</w:t>
      </w:r>
    </w:p>
    <w:p w:rsidR="00FD7A33" w:rsidRPr="0018137C" w:rsidRDefault="00FD7A33" w:rsidP="00FD7A33">
      <w:pPr>
        <w:pStyle w:val="Prrafodelista"/>
        <w:suppressLineNumbers/>
        <w:suppressAutoHyphens/>
        <w:kinsoku w:val="0"/>
        <w:overflowPunct w:val="0"/>
        <w:autoSpaceDE w:val="0"/>
        <w:autoSpaceDN w:val="0"/>
        <w:spacing w:before="120" w:after="120"/>
        <w:ind w:left="0" w:firstLine="720"/>
        <w:contextualSpacing w:val="0"/>
        <w:rPr>
          <w:iCs/>
          <w:snapToGrid w:val="0"/>
          <w:spacing w:val="-2"/>
          <w:kern w:val="22"/>
          <w:szCs w:val="22"/>
          <w:lang w:val="es-419"/>
        </w:rPr>
      </w:pPr>
      <w:r w:rsidRPr="0018137C">
        <w:rPr>
          <w:iCs/>
          <w:snapToGrid w:val="0"/>
          <w:szCs w:val="22"/>
          <w:lang w:val="es-419"/>
        </w:rPr>
        <w:t>19.</w:t>
      </w:r>
      <w:r w:rsidRPr="0018137C">
        <w:rPr>
          <w:iCs/>
          <w:snapToGrid w:val="0"/>
          <w:szCs w:val="22"/>
          <w:lang w:val="es-419"/>
        </w:rPr>
        <w:tab/>
      </w:r>
      <w:r w:rsidRPr="0018137C">
        <w:rPr>
          <w:i/>
          <w:iCs/>
          <w:snapToGrid w:val="0"/>
          <w:szCs w:val="22"/>
          <w:lang w:val="es-419"/>
        </w:rPr>
        <w:t>Pide también</w:t>
      </w:r>
      <w:r w:rsidRPr="0018137C">
        <w:rPr>
          <w:iCs/>
          <w:snapToGrid w:val="0"/>
          <w:szCs w:val="22"/>
          <w:lang w:val="es-419"/>
        </w:rPr>
        <w:t xml:space="preserve"> a la Secretaria Ejecutiva que, con sujeción a la disponibilidad de recursos, utilice y analice la revisión de la información científica y los resultados de todos los productos de la Plataforma Intergubernamental sobre Diversidad Biológica y Servicios de los Ecosistemas, tales como las evaluaciones regionales sobre diversidad biológica y servicios de los ecosistemas y la Evaluación temática sobre degradación y restauración de la tierra, en la preparación del marco mundial de la diversidad biológica posterior a 2020 en el contexto del Convenio, y que presente los resultados de esas consideraciones a una reunión del Órgano Subsidiario de Asesoramiento Científico, Técnico y Tecnológico que se celebre antes de la 15ª reunión de la Conferencia de las Partes;</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18137C">
        <w:rPr>
          <w:rFonts w:ascii="Times New Roman" w:hAnsi="Times New Roman"/>
          <w:sz w:val="22"/>
          <w:szCs w:val="22"/>
          <w:lang w:val="es-419"/>
        </w:rPr>
        <w:t>20.</w:t>
      </w:r>
      <w:r w:rsidRPr="0018137C">
        <w:rPr>
          <w:rFonts w:ascii="Times New Roman" w:hAnsi="Times New Roman"/>
          <w:i/>
          <w:sz w:val="22"/>
          <w:szCs w:val="22"/>
          <w:lang w:val="es-419"/>
        </w:rPr>
        <w:tab/>
        <w:t>Pide además</w:t>
      </w:r>
      <w:r w:rsidRPr="0018137C">
        <w:rPr>
          <w:rFonts w:ascii="Times New Roman" w:hAnsi="Times New Roman"/>
          <w:sz w:val="22"/>
          <w:szCs w:val="22"/>
          <w:lang w:val="es-419"/>
        </w:rPr>
        <w:t xml:space="preserve"> a la Secretaria Ejecutiva que, en colaboración con las Partes, mantenga actualizado el análisis de las estrategias y planes de acción nacionales en materia de biodiversidad y las metas nacionales y que proporcione esa información a través del mecanismo de facilitación del Convenio;</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18137C">
        <w:rPr>
          <w:rFonts w:ascii="Times New Roman" w:hAnsi="Times New Roman"/>
          <w:iCs/>
          <w:sz w:val="22"/>
          <w:szCs w:val="22"/>
          <w:lang w:val="es-419"/>
        </w:rPr>
        <w:t>21.</w:t>
      </w:r>
      <w:r w:rsidRPr="0018137C">
        <w:rPr>
          <w:rFonts w:ascii="Times New Roman" w:hAnsi="Times New Roman"/>
          <w:iCs/>
          <w:sz w:val="22"/>
          <w:szCs w:val="22"/>
          <w:lang w:val="es-419"/>
        </w:rPr>
        <w:tab/>
      </w:r>
      <w:r w:rsidRPr="0018137C">
        <w:rPr>
          <w:rFonts w:ascii="Times New Roman" w:hAnsi="Times New Roman"/>
          <w:i/>
          <w:sz w:val="22"/>
          <w:szCs w:val="22"/>
          <w:lang w:val="es-419"/>
        </w:rPr>
        <w:t>Alienta</w:t>
      </w:r>
      <w:r w:rsidRPr="0018137C">
        <w:rPr>
          <w:rFonts w:ascii="Times New Roman" w:hAnsi="Times New Roman"/>
          <w:sz w:val="22"/>
          <w:szCs w:val="22"/>
          <w:lang w:val="es-419"/>
        </w:rPr>
        <w:t xml:space="preserve"> a las Partes a presentar los sextos informes nacionales en fecha y </w:t>
      </w:r>
      <w:r w:rsidRPr="0018137C">
        <w:rPr>
          <w:rFonts w:ascii="Times New Roman" w:hAnsi="Times New Roman"/>
          <w:i/>
          <w:sz w:val="22"/>
          <w:szCs w:val="22"/>
          <w:lang w:val="es-419"/>
        </w:rPr>
        <w:t>pide</w:t>
      </w:r>
      <w:r w:rsidRPr="0018137C">
        <w:rPr>
          <w:rFonts w:ascii="Times New Roman" w:hAnsi="Times New Roman"/>
          <w:sz w:val="22"/>
          <w:szCs w:val="22"/>
          <w:lang w:val="es-419"/>
        </w:rPr>
        <w:t xml:space="preserve"> a la Secretaria Ejecutiva que continúe actualizando el análisis de los progresos realizados en la implementación del Plan Estratégico para la Diversidad Biológica 2011-2020 basándose en la información brindada en los sextos informes nacionales, que se deberían presentar el 31 de diciembre de 2018 a más tardar, y que ponga el análisis actualizado a disposición del Órgano Subsidiario sobre la Aplicación para que lo examine en su tercera reunión;</w:t>
      </w:r>
    </w:p>
    <w:p w:rsidR="00FD7A33" w:rsidRPr="0018137C" w:rsidRDefault="00FD7A33" w:rsidP="00FD7A3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es-419"/>
        </w:rPr>
      </w:pPr>
      <w:r w:rsidRPr="0018137C">
        <w:rPr>
          <w:rFonts w:ascii="Times New Roman" w:hAnsi="Times New Roman"/>
          <w:sz w:val="22"/>
          <w:szCs w:val="22"/>
          <w:lang w:val="es-419"/>
        </w:rPr>
        <w:t>22.</w:t>
      </w:r>
      <w:r w:rsidRPr="0018137C">
        <w:rPr>
          <w:rFonts w:ascii="Times New Roman" w:hAnsi="Times New Roman"/>
          <w:i/>
          <w:sz w:val="22"/>
          <w:szCs w:val="22"/>
          <w:lang w:val="es-419"/>
        </w:rPr>
        <w:tab/>
        <w:t>Pide</w:t>
      </w:r>
      <w:r w:rsidRPr="0018137C">
        <w:rPr>
          <w:rFonts w:ascii="Times New Roman" w:hAnsi="Times New Roman"/>
          <w:sz w:val="22"/>
          <w:szCs w:val="22"/>
          <w:lang w:val="es-419"/>
        </w:rPr>
        <w:t xml:space="preserve"> a la Secretaria Ejecutiva que, en consulta con las Partes, la Secretaría del Fondo para el Medio Ambiente Mundial, el Programa de las Naciones Unidas para el Desarrollo y el Programa de las Naciones Unidas para el Medio Ambiente, analice el estado de adopción de estrategias y planes de acción nacionales en materia de biodiversidad por las Partes que reúnen las condiciones, y que continúe haciendo un seguimiento de la integración de la diversidad biológica en planes de desarrollo sostenible y estrategias de erradicación de la pobreza;</w:t>
      </w:r>
    </w:p>
    <w:p w:rsidR="00FD7A33" w:rsidRPr="0018137C" w:rsidRDefault="00FD7A33" w:rsidP="00FD7A33">
      <w:pPr>
        <w:keepNext/>
        <w:suppressLineNumbers/>
        <w:suppressAutoHyphens/>
        <w:kinsoku w:val="0"/>
        <w:overflowPunct w:val="0"/>
        <w:autoSpaceDE w:val="0"/>
        <w:autoSpaceDN w:val="0"/>
        <w:adjustRightInd w:val="0"/>
        <w:snapToGrid w:val="0"/>
        <w:spacing w:before="240" w:after="120"/>
        <w:jc w:val="center"/>
        <w:outlineLvl w:val="2"/>
        <w:rPr>
          <w:i/>
          <w:kern w:val="22"/>
          <w:szCs w:val="22"/>
          <w:lang w:val="es-419"/>
        </w:rPr>
      </w:pPr>
      <w:r w:rsidRPr="0018137C">
        <w:rPr>
          <w:i/>
          <w:szCs w:val="22"/>
          <w:lang w:val="es-419"/>
        </w:rPr>
        <w:lastRenderedPageBreak/>
        <w:t>Anexo</w:t>
      </w:r>
    </w:p>
    <w:p w:rsidR="00FD7A33" w:rsidRPr="0018137C" w:rsidRDefault="00FD7A33" w:rsidP="00FD7A33">
      <w:pPr>
        <w:pStyle w:val="HEADING"/>
        <w:suppressLineNumbers/>
        <w:suppressAutoHyphens/>
        <w:kinsoku w:val="0"/>
        <w:overflowPunct w:val="0"/>
        <w:autoSpaceDE w:val="0"/>
        <w:autoSpaceDN w:val="0"/>
        <w:spacing w:before="120"/>
        <w:rPr>
          <w:snapToGrid w:val="0"/>
          <w:kern w:val="22"/>
          <w:szCs w:val="22"/>
          <w:lang w:val="es-419"/>
        </w:rPr>
      </w:pPr>
      <w:r w:rsidRPr="0018137C">
        <w:rPr>
          <w:snapToGrid w:val="0"/>
          <w:szCs w:val="22"/>
          <w:lang w:val="es-419"/>
        </w:rPr>
        <w:t>Posibles opciones para acelerar los progresos hacia el logro de las Metas de Aichi para la Diversidad Biológica</w:t>
      </w:r>
    </w:p>
    <w:p w:rsidR="00FD7A33" w:rsidRPr="0018137C" w:rsidRDefault="00FD7A33" w:rsidP="00FD7A33">
      <w:pPr>
        <w:pStyle w:val="Para1"/>
        <w:numPr>
          <w:ilvl w:val="0"/>
          <w:numId w:val="0"/>
        </w:numPr>
        <w:suppressLineNumbers/>
        <w:suppressAutoHyphens/>
        <w:kinsoku w:val="0"/>
        <w:overflowPunct w:val="0"/>
        <w:autoSpaceDE w:val="0"/>
        <w:autoSpaceDN w:val="0"/>
        <w:rPr>
          <w:kern w:val="22"/>
          <w:szCs w:val="22"/>
          <w:lang w:val="es-419"/>
        </w:rPr>
      </w:pPr>
      <w:r w:rsidRPr="0018137C">
        <w:rPr>
          <w:lang w:val="es-419"/>
        </w:rPr>
        <w:t>1.</w:t>
      </w:r>
      <w:r w:rsidRPr="0018137C">
        <w:rPr>
          <w:lang w:val="es-419"/>
        </w:rPr>
        <w:tab/>
        <w:t>El presente anexo contiene información sobre posibles medidas que podrían adoptarse, según las circunstancias y prioridades nacionales, para facilitar el logro de las Metas de Aichi para la Diversidad Biológica.</w:t>
      </w:r>
    </w:p>
    <w:p w:rsidR="00FD7A33" w:rsidRPr="0018137C" w:rsidRDefault="00FD7A33" w:rsidP="00FD7A33">
      <w:pPr>
        <w:pStyle w:val="StylePara1HeadingsCSTimesNewRoman"/>
        <w:suppressLineNumbers/>
        <w:suppressAutoHyphens/>
        <w:kinsoku w:val="0"/>
        <w:overflowPunct w:val="0"/>
        <w:autoSpaceDE w:val="0"/>
        <w:autoSpaceDN w:val="0"/>
        <w:rPr>
          <w:rFonts w:ascii="Times New Roman" w:hAnsi="Times New Roman"/>
          <w:kern w:val="22"/>
          <w:szCs w:val="22"/>
          <w:lang w:val="es-419"/>
        </w:rPr>
      </w:pPr>
      <w:r w:rsidRPr="0018137C">
        <w:rPr>
          <w:rFonts w:ascii="Times New Roman" w:hAnsi="Times New Roman"/>
          <w:szCs w:val="22"/>
          <w:lang w:val="es-419"/>
        </w:rPr>
        <w:t>2.</w:t>
      </w:r>
      <w:r w:rsidRPr="0018137C">
        <w:rPr>
          <w:rFonts w:ascii="Times New Roman" w:hAnsi="Times New Roman"/>
          <w:szCs w:val="22"/>
          <w:lang w:val="es-419"/>
        </w:rPr>
        <w:tab/>
        <w:t>Las posibles medidas, basadas en las conclusiones de las evaluaciones regionales y temáticas de la IPBES y en las conclusiones extraídas de literatura científica</w:t>
      </w:r>
      <w:r w:rsidRPr="0018137C">
        <w:rPr>
          <w:rFonts w:ascii="Times New Roman" w:hAnsi="Times New Roman"/>
          <w:kern w:val="22"/>
          <w:szCs w:val="22"/>
          <w:vertAlign w:val="superscript"/>
          <w:lang w:val="es-419"/>
        </w:rPr>
        <w:footnoteReference w:id="19"/>
      </w:r>
      <w:r w:rsidRPr="0018137C">
        <w:rPr>
          <w:rFonts w:ascii="Times New Roman" w:hAnsi="Times New Roman"/>
          <w:szCs w:val="22"/>
          <w:lang w:val="es-419"/>
        </w:rPr>
        <w:t>, incluyen:</w:t>
      </w:r>
    </w:p>
    <w:p w:rsidR="0050593C"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a)</w:t>
      </w:r>
      <w:r w:rsidRPr="0018137C">
        <w:rPr>
          <w:rFonts w:ascii="Times New Roman" w:hAnsi="Times New Roman"/>
          <w:szCs w:val="22"/>
          <w:lang w:val="es-419"/>
        </w:rPr>
        <w:tab/>
        <w:t>Recurrir más a las ciencias sociales, teniendo en cuenta diferentes visiones y sistemas de conocimientos, promover investigaciones sobre cuestiones culturales y cuestiones asociadas con la calidad de vida de las personas, los valores no materiales de la diversidad biológica y las necesidades de los pueblos indígenas y comunidades locales, las mujeres, los jóvenes y las personas pobres y vulnerables;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b)</w:t>
      </w:r>
      <w:r w:rsidRPr="0018137C">
        <w:rPr>
          <w:rFonts w:ascii="Times New Roman" w:hAnsi="Times New Roman"/>
          <w:szCs w:val="22"/>
          <w:lang w:val="es-419"/>
        </w:rPr>
        <w:tab/>
        <w:t>Aumentar la generación de información sobre diversidad biológica y el acceso a esa información, como por ejemplo mediante la promoción de investigaciones sobre la diversidad biológica y las funciones y servicios de los ecosistemas, desarrollar conjuntos de datos que puedan desglosarse para distintos ecosistemas y a distintas escalas geográficas y desarrollar y promover mecanismos para intercambiar más eficazmente información sobre diversidad biológica;</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c)</w:t>
      </w:r>
      <w:r w:rsidRPr="0018137C">
        <w:rPr>
          <w:rFonts w:ascii="Times New Roman" w:hAnsi="Times New Roman"/>
          <w:szCs w:val="22"/>
          <w:lang w:val="es-419"/>
        </w:rPr>
        <w:tab/>
        <w:t>Mejorar el seguimiento de todos los aspectos de la diversidad biológica y las funciones y servicios de los ecosistemas, como por ejemplo mediante un mayor uso de observaciones remotas y sistemas de información geográfica, así como utilizando tecnología para la identificación de especies y la generación de información sobre diversidad biológica;</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d)</w:t>
      </w:r>
      <w:r w:rsidRPr="0018137C">
        <w:rPr>
          <w:rFonts w:ascii="Times New Roman" w:hAnsi="Times New Roman"/>
          <w:szCs w:val="22"/>
          <w:lang w:val="es-419"/>
        </w:rPr>
        <w:tab/>
        <w:t>Promover el uso y el desarrollo de escenarios que integren consideraciones de diversidad biológica con otros objetivos sociales y culturales, tales como la erradicación de la pobreza y el hambre, la adaptación al cambio climático y la mitigación de sus efectos, y que consideren múltiples impulsores directos e indirectos de la pérdida de diversidad biológica y reflejen de manera más adecuada los servicios y funciones de los ecosistemas;</w:t>
      </w:r>
    </w:p>
    <w:p w:rsidR="007E76BC"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e)</w:t>
      </w:r>
      <w:r w:rsidRPr="0018137C">
        <w:rPr>
          <w:rFonts w:ascii="Times New Roman" w:hAnsi="Times New Roman"/>
          <w:szCs w:val="22"/>
          <w:lang w:val="es-419"/>
        </w:rPr>
        <w:tab/>
        <w:t>Integrar o incorporar más adecuadamente las cuestiones relacionadas con la diversidad biológica en todos los sectores de la sociedad, incluidos los procesos nacionales de planificación y desarrollo y la elaboración de políticas, a fin de considerar más adecuadamente las lagunas y efectos secundarios de las políticas en la adopción de decisiones y los efectos negativos no intencionales de las decisiones en materia de políticas;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f)</w:t>
      </w:r>
      <w:r w:rsidRPr="0018137C">
        <w:rPr>
          <w:rFonts w:ascii="Times New Roman" w:hAnsi="Times New Roman"/>
          <w:szCs w:val="22"/>
          <w:lang w:val="es-419"/>
        </w:rPr>
        <w:tab/>
        <w:t>Considerar más adecuadamente los efectos directos e indirectos de las políticas y las modalidades de producción y consumo en la diversidad biológica, y de las interacciones causales entre lugares y ecosistemas distantes, así como los efectos en ellos, y abordar mejor las implicaciones de las decisiones en materia de políticas para la diversidad biológica, tanto dentro como fuera de las fronteras nacionales;</w:t>
      </w:r>
    </w:p>
    <w:p w:rsidR="007E76BC"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g)</w:t>
      </w:r>
      <w:r w:rsidRPr="0018137C">
        <w:rPr>
          <w:rFonts w:ascii="Times New Roman" w:hAnsi="Times New Roman"/>
          <w:szCs w:val="22"/>
          <w:lang w:val="es-419"/>
        </w:rPr>
        <w:tab/>
        <w:t>Promover un mayor uso de técnicas de planificación territorial en la conservación y gestión de la diversidad biológica;</w:t>
      </w:r>
    </w:p>
    <w:p w:rsidR="00FD7A33" w:rsidRPr="0018137C" w:rsidRDefault="00FD7A33" w:rsidP="00BF20A5">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h)</w:t>
      </w:r>
      <w:r w:rsidRPr="0018137C">
        <w:rPr>
          <w:rFonts w:ascii="Times New Roman" w:hAnsi="Times New Roman"/>
          <w:szCs w:val="22"/>
          <w:lang w:val="es-419"/>
        </w:rPr>
        <w:tab/>
        <w:t xml:space="preserve">Promover y desarrollar sistemas de gobernanza que aborden las cuestiones relacionadas con la diversidad biológica de manera más coherente e incorporen más adecuadamente los compromisos mundiales en materia de diversidad biológica, como por ejemplo mejorando la integración de los conocimientos indígenas y locales y la pluralidad de valores en los procesos de gobernanza, e incluyendo </w:t>
      </w:r>
      <w:r w:rsidRPr="0018137C">
        <w:rPr>
          <w:rFonts w:ascii="Times New Roman" w:hAnsi="Times New Roman"/>
          <w:szCs w:val="22"/>
          <w:lang w:val="es-419"/>
        </w:rPr>
        <w:lastRenderedPageBreak/>
        <w:t>más adecuadamente las posibles sinergias en la aplicación de acuerdos bilaterales y multilaterales, los Objetivos de Desarrollo Sostenible y otras iniciativas internacionales y regionales a nivel nacional;</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i)</w:t>
      </w:r>
      <w:r w:rsidRPr="0018137C">
        <w:rPr>
          <w:rFonts w:ascii="Times New Roman" w:hAnsi="Times New Roman"/>
          <w:szCs w:val="22"/>
          <w:lang w:val="es-419"/>
        </w:rPr>
        <w:tab/>
        <w:t>Promover el uso de enfoques participativos para la gestión de la diversidad biológica, como por ejemplo a través de la participación efectiva de los pueblos indígenas y las comunidades locales, y mediante el fortalecimiento de la capacidad de los interesados directos para que puedan participar de manera significativa en los procesos de adopción de decisiones;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j)</w:t>
      </w:r>
      <w:r w:rsidRPr="0018137C">
        <w:rPr>
          <w:rFonts w:ascii="Times New Roman" w:hAnsi="Times New Roman"/>
          <w:szCs w:val="22"/>
          <w:lang w:val="es-419"/>
        </w:rPr>
        <w:tab/>
        <w:t>Trabajar más eficazmente con los pequeños propietarios de tierras para la adopción de prácticas sostenibles más eficientes y respetuosas de la diversidad biológica, y mejorar la cooperación y las asociaciones con los pueblos indígenas y las comunidades locales, las organizaciones no gubernamentales, el sector privado y los particulares;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k)</w:t>
      </w:r>
      <w:r w:rsidRPr="0018137C">
        <w:rPr>
          <w:rFonts w:ascii="Times New Roman" w:hAnsi="Times New Roman"/>
          <w:szCs w:val="22"/>
          <w:lang w:val="es-419"/>
        </w:rPr>
        <w:tab/>
        <w:t>Aumentar la conciencia sobre la diversidad biológica y las interacciones entre los impulsores indirectos y directos de la pérdida de diversidad biológica y sus efectos en ella, las funciones y servicios de los ecosistemas y el bienestar humano a través de una mejor comunicación, educación y conciencia pública y la adopción de medidas para lograr cambios en los comportamientos y las políticas;</w:t>
      </w:r>
    </w:p>
    <w:p w:rsidR="00861C10"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l)</w:t>
      </w:r>
      <w:r w:rsidRPr="0018137C">
        <w:rPr>
          <w:rFonts w:ascii="Times New Roman" w:hAnsi="Times New Roman"/>
          <w:szCs w:val="22"/>
          <w:lang w:val="es-419"/>
        </w:rPr>
        <w:tab/>
        <w:t>Mejorar el flujo de recursos financieros y tecnológicos y el acceso a estos para la conservación y utilización sostenible de la diversidad biológica;</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m)</w:t>
      </w:r>
      <w:r w:rsidRPr="0018137C">
        <w:rPr>
          <w:rFonts w:ascii="Times New Roman" w:hAnsi="Times New Roman"/>
          <w:szCs w:val="22"/>
          <w:lang w:val="es-419"/>
        </w:rPr>
        <w:tab/>
        <w:t>Promover medidas que aborden las causas subyacentes de la pérdida de diversidad biológica y que contribuyan al logro de múltiples Metas de Aichi para la Diversidad Biológica;</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n)</w:t>
      </w:r>
      <w:r w:rsidRPr="0018137C">
        <w:rPr>
          <w:rFonts w:ascii="Times New Roman" w:hAnsi="Times New Roman"/>
          <w:szCs w:val="22"/>
          <w:lang w:val="es-419"/>
        </w:rPr>
        <w:tab/>
        <w:t>Promover múltiples enfoques, incluidos enfoques no monetarios, para la valoración de la diversidad biológica y los servicios y las funciones de los ecosistemas</w:t>
      </w:r>
      <w:r w:rsidRPr="0018137C">
        <w:rPr>
          <w:rFonts w:ascii="Times New Roman" w:hAnsi="Times New Roman"/>
          <w:color w:val="333333"/>
          <w:szCs w:val="22"/>
          <w:shd w:val="clear" w:color="auto" w:fill="FFFFFF"/>
          <w:lang w:val="es-419"/>
        </w:rPr>
        <w:t>;</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o)</w:t>
      </w:r>
      <w:r w:rsidRPr="0018137C">
        <w:rPr>
          <w:rFonts w:ascii="Times New Roman" w:hAnsi="Times New Roman"/>
          <w:szCs w:val="22"/>
          <w:lang w:val="es-419"/>
        </w:rPr>
        <w:tab/>
        <w:t>Tener más adecuadamente en cuenta el efecto total de los procesos de producción y consumo a lo largo de toda la cadena de suministro y el ciclo de vida completo de los productos en la diversidad biológica;</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p)</w:t>
      </w:r>
      <w:r w:rsidRPr="0018137C">
        <w:rPr>
          <w:rFonts w:ascii="Times New Roman" w:hAnsi="Times New Roman"/>
          <w:szCs w:val="22"/>
          <w:lang w:val="es-419"/>
        </w:rPr>
        <w:tab/>
        <w:t>Eliminar los incentivos perjudiciales que contribuyen a la degradación de la diversidad biológica y diseñar incentivos positivos que recompensen la adopción de prácticas sostenibles;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q)</w:t>
      </w:r>
      <w:r w:rsidRPr="0018137C">
        <w:rPr>
          <w:rFonts w:ascii="Times New Roman" w:hAnsi="Times New Roman"/>
          <w:szCs w:val="22"/>
          <w:lang w:val="es-419"/>
        </w:rPr>
        <w:tab/>
        <w:t>Promover la inversión en el desarrollo y aplicación de soluciones basadas en la naturaleza a fin de hacer frente a los desafíos de la sociedad, como por ejemplo a través de la restauración de los ecosistemas y la rehabilitación de los sistemas agrícolas, la adaptación y mitigación basadas en los ecosistemas y enfoques basados en los ecosistemas para la reducción del riesgo de desastres;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r)</w:t>
      </w:r>
      <w:r w:rsidRPr="0018137C">
        <w:rPr>
          <w:rFonts w:ascii="Times New Roman" w:hAnsi="Times New Roman"/>
          <w:szCs w:val="22"/>
          <w:lang w:val="es-419"/>
        </w:rPr>
        <w:tab/>
        <w:t>Adoptar medidas adecuadas para proteger y restaurar la diversidad, la abundancia y la salud de los polinizadores;</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s)</w:t>
      </w:r>
      <w:r w:rsidRPr="0018137C">
        <w:rPr>
          <w:rFonts w:ascii="Times New Roman" w:hAnsi="Times New Roman"/>
          <w:szCs w:val="22"/>
          <w:lang w:val="es-419"/>
        </w:rPr>
        <w:tab/>
        <w:t>Reducir los costos de la certificación de prácticas sostenibles y otros obstáculos para la comercialización de los productos de la producción sostenible;</w:t>
      </w:r>
    </w:p>
    <w:p w:rsidR="00FD7A33" w:rsidRPr="0018137C" w:rsidRDefault="00FD7A33" w:rsidP="00FD7A33">
      <w:pPr>
        <w:pStyle w:val="StylePara1HeadingsCSTimesNewRoman"/>
        <w:suppressLineNumbers/>
        <w:suppressAutoHyphens/>
        <w:kinsoku w:val="0"/>
        <w:overflowPunct w:val="0"/>
        <w:autoSpaceDE w:val="0"/>
        <w:autoSpaceDN w:val="0"/>
        <w:ind w:firstLine="709"/>
        <w:rPr>
          <w:rFonts w:ascii="Times New Roman" w:hAnsi="Times New Roman"/>
          <w:kern w:val="22"/>
          <w:szCs w:val="22"/>
          <w:lang w:val="es-419"/>
        </w:rPr>
      </w:pPr>
      <w:r w:rsidRPr="0018137C">
        <w:rPr>
          <w:rFonts w:ascii="Times New Roman" w:hAnsi="Times New Roman"/>
          <w:szCs w:val="22"/>
          <w:lang w:val="es-419"/>
        </w:rPr>
        <w:t>t)</w:t>
      </w:r>
      <w:r w:rsidRPr="0018137C">
        <w:rPr>
          <w:rFonts w:ascii="Times New Roman" w:hAnsi="Times New Roman"/>
          <w:szCs w:val="22"/>
          <w:lang w:val="es-419"/>
        </w:rPr>
        <w:tab/>
        <w:t>Mejorar los esfuerzos para prevenir la degradación de las tierras y restaurar las tierras degradadas;</w:t>
      </w:r>
    </w:p>
    <w:p w:rsidR="00FD7A33" w:rsidRPr="0018137C" w:rsidRDefault="00FD7A33" w:rsidP="00FD7A33">
      <w:pPr>
        <w:pStyle w:val="StylePara1HeadingsCSTimesNewRoman"/>
        <w:suppressLineNumbers/>
        <w:suppressAutoHyphens/>
        <w:kinsoku w:val="0"/>
        <w:overflowPunct w:val="0"/>
        <w:autoSpaceDE w:val="0"/>
        <w:autoSpaceDN w:val="0"/>
        <w:spacing w:after="240"/>
        <w:ind w:firstLine="709"/>
        <w:rPr>
          <w:rFonts w:ascii="Times New Roman" w:hAnsi="Times New Roman"/>
          <w:kern w:val="22"/>
          <w:szCs w:val="22"/>
          <w:lang w:val="es-419"/>
        </w:rPr>
      </w:pPr>
      <w:r w:rsidRPr="0018137C">
        <w:rPr>
          <w:rFonts w:ascii="Times New Roman" w:hAnsi="Times New Roman"/>
          <w:szCs w:val="22"/>
          <w:lang w:val="es-419"/>
        </w:rPr>
        <w:t>u)</w:t>
      </w:r>
      <w:r w:rsidRPr="0018137C">
        <w:rPr>
          <w:rFonts w:ascii="Times New Roman" w:hAnsi="Times New Roman"/>
          <w:szCs w:val="22"/>
          <w:lang w:val="es-419"/>
        </w:rPr>
        <w:tab/>
        <w:t>Intensificar los esfuerzos para lograr un cambio transformativo en la manera en que la sociedad se relaciona con la diversidad biológica.</w:t>
      </w:r>
    </w:p>
    <w:p w:rsidR="004B359C" w:rsidRPr="0018137C" w:rsidRDefault="004B359C" w:rsidP="00500241">
      <w:pPr>
        <w:pStyle w:val="StylePara1HeadingsCSTimesNewRoman"/>
        <w:suppressLineNumbers/>
        <w:suppressAutoHyphens/>
        <w:kinsoku w:val="0"/>
        <w:overflowPunct w:val="0"/>
        <w:autoSpaceDE w:val="0"/>
        <w:autoSpaceDN w:val="0"/>
        <w:jc w:val="center"/>
        <w:rPr>
          <w:rFonts w:ascii="Times New Roman" w:hAnsi="Times New Roman"/>
          <w:kern w:val="22"/>
          <w:szCs w:val="22"/>
          <w:lang w:val="es-419"/>
        </w:rPr>
      </w:pPr>
      <w:r w:rsidRPr="0018137C">
        <w:rPr>
          <w:rFonts w:ascii="Times New Roman" w:hAnsi="Times New Roman"/>
          <w:szCs w:val="22"/>
          <w:lang w:val="es-419"/>
        </w:rPr>
        <w:t>__________</w:t>
      </w:r>
    </w:p>
    <w:sectPr w:rsidR="004B359C" w:rsidRPr="0018137C"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3D2" w:rsidRDefault="00AD63D2" w:rsidP="00CF1848">
      <w:r>
        <w:separator/>
      </w:r>
    </w:p>
  </w:endnote>
  <w:endnote w:type="continuationSeparator" w:id="0">
    <w:p w:rsidR="00AD63D2" w:rsidRDefault="00AD63D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3D2" w:rsidRDefault="00AD63D2" w:rsidP="00CF1848">
      <w:r>
        <w:separator/>
      </w:r>
    </w:p>
  </w:footnote>
  <w:footnote w:type="continuationSeparator" w:id="0">
    <w:p w:rsidR="00AD63D2" w:rsidRDefault="00AD63D2" w:rsidP="00CF1848">
      <w:r>
        <w:continuationSeparator/>
      </w:r>
    </w:p>
  </w:footnote>
  <w:footnote w:id="1">
    <w:p w:rsidR="00B1511B" w:rsidRPr="003603CE" w:rsidRDefault="00B1511B" w:rsidP="0023117E">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Decisión </w:t>
      </w:r>
      <w:hyperlink r:id="rId1" w:history="1">
        <w:r>
          <w:rPr>
            <w:rStyle w:val="Hipervnculo"/>
          </w:rPr>
          <w:t>X/2</w:t>
        </w:r>
      </w:hyperlink>
      <w:r>
        <w:t>, anexo.</w:t>
      </w:r>
    </w:p>
  </w:footnote>
  <w:footnote w:id="2">
    <w:p w:rsidR="00B1511B" w:rsidRPr="003603CE" w:rsidRDefault="00B1511B" w:rsidP="00571555">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Véase la resolución </w:t>
      </w:r>
      <w:hyperlink r:id="rId2" w:history="1">
        <w:r>
          <w:rPr>
            <w:rStyle w:val="Hipervnculo"/>
          </w:rPr>
          <w:t>70/1</w:t>
        </w:r>
      </w:hyperlink>
      <w:r>
        <w:t xml:space="preserve"> de la Asamblea General, titulada “Transformar nuestro mundo: la Agenda 2030 para el Desarrollo Sostenible”.</w:t>
      </w:r>
    </w:p>
  </w:footnote>
  <w:footnote w:id="3">
    <w:p w:rsidR="00B1511B" w:rsidRPr="003603CE" w:rsidRDefault="00B1511B">
      <w:pPr>
        <w:keepLines/>
        <w:suppressLineNumbers/>
        <w:suppressAutoHyphens/>
        <w:kinsoku w:val="0"/>
        <w:overflowPunct w:val="0"/>
        <w:autoSpaceDE w:val="0"/>
        <w:autoSpaceDN w:val="0"/>
        <w:adjustRightInd w:val="0"/>
        <w:snapToGrid w:val="0"/>
        <w:spacing w:after="60"/>
        <w:jc w:val="left"/>
        <w:rPr>
          <w:kern w:val="18"/>
          <w:sz w:val="18"/>
          <w:szCs w:val="18"/>
        </w:rPr>
      </w:pPr>
      <w:r>
        <w:rPr>
          <w:rStyle w:val="Refdenotaalpie"/>
          <w:kern w:val="18"/>
          <w:sz w:val="18"/>
          <w:szCs w:val="18"/>
        </w:rPr>
        <w:footnoteRef/>
      </w:r>
      <w:r>
        <w:rPr>
          <w:bCs/>
          <w:sz w:val="18"/>
          <w:szCs w:val="18"/>
        </w:rPr>
        <w:t xml:space="preserve"> </w:t>
      </w:r>
      <w:r w:rsidRPr="0018137C">
        <w:rPr>
          <w:sz w:val="18"/>
          <w:szCs w:val="18"/>
        </w:rPr>
        <w:t>CBD/COP/14/5</w:t>
      </w:r>
      <w:r w:rsidRPr="0018137C">
        <w:rPr>
          <w:rStyle w:val="Hipervnculo"/>
          <w:bCs/>
          <w:color w:val="auto"/>
          <w:szCs w:val="18"/>
          <w:u w:val="none"/>
        </w:rPr>
        <w:t>,</w:t>
      </w:r>
      <w:r w:rsidRPr="0018137C">
        <w:rPr>
          <w:sz w:val="18"/>
          <w:szCs w:val="18"/>
        </w:rPr>
        <w:t xml:space="preserve"> Add.1</w:t>
      </w:r>
      <w:r w:rsidRPr="0018137C">
        <w:rPr>
          <w:rStyle w:val="Hipervnculo"/>
          <w:bCs/>
          <w:color w:val="auto"/>
          <w:szCs w:val="18"/>
          <w:u w:val="none"/>
        </w:rPr>
        <w:t xml:space="preserve"> y Add.2</w:t>
      </w:r>
      <w:r w:rsidRPr="0018137C">
        <w:rPr>
          <w:sz w:val="18"/>
          <w:szCs w:val="18"/>
        </w:rPr>
        <w:t>.</w:t>
      </w:r>
    </w:p>
  </w:footnote>
  <w:footnote w:id="4">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Véanse también </w:t>
      </w:r>
      <w:r>
        <w:rPr>
          <w:iCs/>
          <w:snapToGrid w:val="0"/>
          <w:szCs w:val="18"/>
        </w:rPr>
        <w:t>CBD/SBSTTA/22/INF/10, INF/</w:t>
      </w:r>
      <w:r>
        <w:t>22, INF/23, INF/26, INF/30, INF/31, INF/32, INF/34 e INF/35.</w:t>
      </w:r>
    </w:p>
  </w:footnote>
  <w:footnote w:id="5">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r>
        <w:rPr>
          <w:iCs/>
          <w:snapToGrid w:val="0"/>
          <w:szCs w:val="18"/>
        </w:rPr>
        <w:t>CBD/SBSTTA/22, anexo I.</w:t>
      </w:r>
    </w:p>
  </w:footnote>
  <w:footnote w:id="6">
    <w:p w:rsidR="00B1511B" w:rsidRPr="003603CE" w:rsidRDefault="00B1511B">
      <w:pPr>
        <w:pStyle w:val="Textonotapie"/>
        <w:suppressLineNumbers/>
        <w:suppressAutoHyphens/>
        <w:ind w:firstLine="0"/>
        <w:jc w:val="left"/>
        <w:rPr>
          <w:kern w:val="18"/>
          <w:szCs w:val="18"/>
        </w:rPr>
      </w:pPr>
      <w:r>
        <w:rPr>
          <w:rStyle w:val="Refdenotaalpie"/>
          <w:kern w:val="18"/>
          <w:sz w:val="18"/>
          <w:szCs w:val="18"/>
        </w:rPr>
        <w:footnoteRef/>
      </w:r>
      <w:r>
        <w:t xml:space="preserve"> CBD/COP/14/5, Add.1 y Add.2.</w:t>
      </w:r>
    </w:p>
  </w:footnote>
  <w:footnote w:id="7">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r>
        <w:rPr>
          <w:iCs/>
          <w:snapToGrid w:val="0"/>
          <w:szCs w:val="18"/>
        </w:rPr>
        <w:t>CBD/SBSTTA/22/INF/10.</w:t>
      </w:r>
    </w:p>
  </w:footnote>
  <w:footnote w:id="8">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r>
        <w:rPr>
          <w:iCs/>
          <w:snapToGrid w:val="0"/>
          <w:szCs w:val="18"/>
        </w:rPr>
        <w:t>CBD/SBSTTA/22/INF/10, anexo.</w:t>
      </w:r>
    </w:p>
  </w:footnote>
  <w:footnote w:id="9">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Véanse el </w:t>
      </w:r>
      <w:hyperlink r:id="rId3" w:tgtFrame="_blank" w:history="1">
        <w:r>
          <w:rPr>
            <w:rStyle w:val="Hipervnculo"/>
          </w:rPr>
          <w:t>informe de la reunión mundial de lanzamiento y creación de capacidad sobre desarrollo de la capacidad para realizar evaluaciones nacionales de los ecosistemas en la IPBES (Kribi, Camerún, julio de 2017)</w:t>
        </w:r>
      </w:hyperlink>
      <w:r>
        <w:t xml:space="preserve"> y el </w:t>
      </w:r>
      <w:hyperlink r:id="rId4" w:tgtFrame="_blank" w:history="1">
        <w:r w:rsidRPr="0018137C">
          <w:rPr>
            <w:rStyle w:val="Hipervnculo"/>
          </w:rPr>
          <w:t>proyecto sobre apoyo a la capacidad de los países en desarrollo para abordar cuestiones científico-normativas a través de la IPBES por medio de la Red sobre Diversidad Biológica y Servicios de los Ecosistemas (BES-Net) gestionada por el PNUD y la Red de Evaluación Submundial del CMVC del PNUMA</w:t>
        </w:r>
      </w:hyperlink>
      <w:r w:rsidRPr="0018137C">
        <w:rPr>
          <w:rStyle w:val="Hipervnculo"/>
        </w:rPr>
        <w:t>.</w:t>
      </w:r>
    </w:p>
  </w:footnote>
  <w:footnote w:id="10">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r>
        <w:rPr>
          <w:iCs/>
          <w:snapToGrid w:val="0"/>
          <w:szCs w:val="18"/>
        </w:rPr>
        <w:t>Decisiones VIII/23 y X/34.</w:t>
      </w:r>
    </w:p>
  </w:footnote>
  <w:footnote w:id="11">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CBD/SBSTTA/22/INF/23.</w:t>
      </w:r>
    </w:p>
  </w:footnote>
  <w:footnote w:id="12">
    <w:p w:rsidR="00B1511B" w:rsidRPr="003603CE" w:rsidRDefault="00B1511B">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Decisión XIII/5, anexo.</w:t>
      </w:r>
    </w:p>
  </w:footnote>
  <w:footnote w:id="13">
    <w:p w:rsidR="009B4683" w:rsidRPr="003603CE" w:rsidRDefault="009B4683" w:rsidP="003603CE">
      <w:pPr>
        <w:pStyle w:val="Textonotapie"/>
        <w:suppressLineNumbers/>
        <w:suppressAutoHyphens/>
        <w:ind w:firstLine="0"/>
        <w:jc w:val="left"/>
        <w:rPr>
          <w:kern w:val="18"/>
          <w:szCs w:val="18"/>
        </w:rPr>
      </w:pPr>
      <w:r>
        <w:rPr>
          <w:rStyle w:val="Refdenotaalpie"/>
          <w:kern w:val="18"/>
          <w:sz w:val="18"/>
          <w:szCs w:val="18"/>
        </w:rPr>
        <w:footnoteRef/>
      </w:r>
      <w:r>
        <w:t xml:space="preserve"> https://www.cbd.int/doc/c/274b/80e7/34d341167178fe08effd0900/cop-14-afr-hls-04-final-en.pdf</w:t>
      </w:r>
      <w:r w:rsidR="0018137C">
        <w:t>.</w:t>
      </w:r>
    </w:p>
  </w:footnote>
  <w:footnote w:id="14">
    <w:p w:rsidR="009B4683" w:rsidRPr="003603CE" w:rsidRDefault="009B4683" w:rsidP="003603CE">
      <w:pPr>
        <w:pStyle w:val="Textonotapie"/>
        <w:suppressLineNumbers/>
        <w:suppressAutoHyphens/>
        <w:ind w:firstLine="0"/>
        <w:jc w:val="left"/>
        <w:rPr>
          <w:kern w:val="18"/>
          <w:szCs w:val="18"/>
        </w:rPr>
      </w:pPr>
      <w:r>
        <w:rPr>
          <w:rStyle w:val="Refdenotaalpie"/>
          <w:kern w:val="18"/>
          <w:sz w:val="18"/>
          <w:szCs w:val="18"/>
        </w:rPr>
        <w:footnoteRef/>
      </w:r>
      <w:r>
        <w:t xml:space="preserve"> Sharm el-Sheikh, Egipto, 13 de noviembre de 2018, véase https://www.cbd.int/doc/c/274b/80e7/34d341167178fe08effd0900/cop-14-afr-hls-04-final-en.pdf</w:t>
      </w:r>
      <w:r w:rsidR="0018137C">
        <w:t>.</w:t>
      </w:r>
    </w:p>
  </w:footnote>
  <w:footnote w:id="15">
    <w:p w:rsidR="00BF20A5" w:rsidRPr="003603CE" w:rsidRDefault="00BF20A5" w:rsidP="0023117E">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hyperlink r:id="rId5" w:history="1">
        <w:r>
          <w:rPr>
            <w:rStyle w:val="Hipervnculo"/>
          </w:rPr>
          <w:t>https://www.cbd.int/gbo/gbo4/publication/lbo-en.pdf</w:t>
        </w:r>
      </w:hyperlink>
      <w:r>
        <w:t>.</w:t>
      </w:r>
    </w:p>
  </w:footnote>
  <w:footnote w:id="16">
    <w:p w:rsidR="00F60E21" w:rsidRPr="003603CE" w:rsidRDefault="00F60E21" w:rsidP="00CC1104">
      <w:pPr>
        <w:pStyle w:val="Textonotapie"/>
        <w:suppressLineNumbers/>
        <w:suppressAutoHyphens/>
        <w:ind w:firstLine="0"/>
        <w:jc w:val="left"/>
        <w:rPr>
          <w:kern w:val="18"/>
          <w:szCs w:val="18"/>
        </w:rPr>
      </w:pPr>
      <w:r>
        <w:rPr>
          <w:rStyle w:val="Refdenotaalpie"/>
          <w:kern w:val="18"/>
          <w:sz w:val="18"/>
          <w:szCs w:val="18"/>
        </w:rPr>
        <w:footnoteRef/>
      </w:r>
      <w:r>
        <w:t xml:space="preserve"> Decisión XIII/31, anexo.</w:t>
      </w:r>
    </w:p>
  </w:footnote>
  <w:footnote w:id="17">
    <w:p w:rsidR="00B1511B" w:rsidRPr="003603CE" w:rsidRDefault="00B1511B" w:rsidP="00571555">
      <w:pPr>
        <w:pStyle w:val="Textonotapie"/>
        <w:suppressLineNumbers/>
        <w:suppressAutoHyphens/>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r>
        <w:rPr>
          <w:iCs/>
          <w:snapToGrid w:val="0"/>
          <w:szCs w:val="18"/>
        </w:rPr>
        <w:t>Decisión X/2, sección VI.</w:t>
      </w:r>
    </w:p>
  </w:footnote>
  <w:footnote w:id="18">
    <w:p w:rsidR="00115474" w:rsidRPr="003603CE" w:rsidRDefault="00115474" w:rsidP="003603CE">
      <w:pPr>
        <w:pStyle w:val="Textonotapie"/>
        <w:suppressLineNumbers/>
        <w:suppressAutoHyphens/>
        <w:ind w:firstLine="0"/>
        <w:jc w:val="left"/>
        <w:rPr>
          <w:kern w:val="18"/>
          <w:szCs w:val="18"/>
        </w:rPr>
      </w:pPr>
      <w:r>
        <w:rPr>
          <w:rStyle w:val="Refdenotaalpie"/>
          <w:kern w:val="18"/>
          <w:sz w:val="18"/>
          <w:szCs w:val="18"/>
        </w:rPr>
        <w:footnoteRef/>
      </w:r>
      <w:r>
        <w:t xml:space="preserve"> Decisión XII/3.</w:t>
      </w:r>
    </w:p>
  </w:footnote>
  <w:footnote w:id="19">
    <w:p w:rsidR="00B1511B" w:rsidRPr="003603CE" w:rsidRDefault="00B1511B" w:rsidP="0023117E">
      <w:pPr>
        <w:pStyle w:val="Textonotapie"/>
        <w:suppressLineNumbers/>
        <w:suppressAutoHyphens/>
        <w:kinsoku w:val="0"/>
        <w:overflowPunct w:val="0"/>
        <w:autoSpaceDE w:val="0"/>
        <w:autoSpaceDN w:val="0"/>
        <w:adjustRightInd w:val="0"/>
        <w:snapToGrid w:val="0"/>
        <w:ind w:firstLine="0"/>
        <w:jc w:val="left"/>
        <w:rPr>
          <w:snapToGrid w:val="0"/>
          <w:spacing w:val="-2"/>
          <w:kern w:val="18"/>
          <w:szCs w:val="18"/>
        </w:rPr>
      </w:pPr>
      <w:r>
        <w:rPr>
          <w:rStyle w:val="Refdenotaalpie"/>
          <w:rFonts w:eastAsiaTheme="majorEastAsia"/>
          <w:snapToGrid w:val="0"/>
          <w:spacing w:val="-2"/>
          <w:kern w:val="18"/>
          <w:sz w:val="18"/>
          <w:szCs w:val="18"/>
        </w:rPr>
        <w:footnoteRef/>
      </w:r>
      <w:r>
        <w:rPr>
          <w:snapToGrid w:val="0"/>
          <w:szCs w:val="18"/>
        </w:rPr>
        <w:t xml:space="preserve"> Las medidas señaladas en la presente deben considerarse en relación con las orientaciones ya elaboradas por la Conferencia de las Partes, como la decisión X/2 sobre el Plan Estratégico para la Diversidad Biológica 2011-2020 y su fundamento técnico (UNEP/CBD/COP/10/27/Add.1), así como las necesidades relacionadas con la aplicación señaladas por la Conferencia de las Partes en la decisión XII/1.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B1511B" w:rsidRPr="003603CE" w:rsidRDefault="00A009A5" w:rsidP="003603CE">
        <w:pPr>
          <w:pStyle w:val="Encabezado"/>
          <w:tabs>
            <w:tab w:val="clear" w:pos="4320"/>
            <w:tab w:val="clear" w:pos="8640"/>
          </w:tabs>
          <w:jc w:val="left"/>
          <w:rPr>
            <w:noProof/>
            <w:kern w:val="22"/>
          </w:rPr>
        </w:pPr>
        <w:r>
          <w:rPr>
            <w:noProof/>
            <w:kern w:val="22"/>
          </w:rPr>
          <w:t>CBD/COP/DEC/14/1</w:t>
        </w:r>
      </w:p>
    </w:sdtContent>
  </w:sdt>
  <w:p w:rsidR="00B1511B" w:rsidRPr="003603CE" w:rsidRDefault="00B1511B" w:rsidP="003603CE">
    <w:pPr>
      <w:pStyle w:val="Encabezado"/>
      <w:tabs>
        <w:tab w:val="clear" w:pos="4320"/>
        <w:tab w:val="clear" w:pos="8640"/>
      </w:tabs>
      <w:jc w:val="left"/>
      <w:rPr>
        <w:noProof/>
        <w:kern w:val="22"/>
      </w:rPr>
    </w:pPr>
    <w:r>
      <w:t xml:space="preserve">Página </w:t>
    </w:r>
    <w:r w:rsidRPr="003603CE">
      <w:fldChar w:fldCharType="begin"/>
    </w:r>
    <w:r w:rsidRPr="003603CE">
      <w:instrText xml:space="preserve"> PAGE   \* MERGEFORMAT </w:instrText>
    </w:r>
    <w:r w:rsidRPr="003603CE">
      <w:fldChar w:fldCharType="separate"/>
    </w:r>
    <w:r w:rsidR="00FE3A6C">
      <w:t>6</w:t>
    </w:r>
    <w:r w:rsidRPr="003603CE">
      <w:fldChar w:fldCharType="end"/>
    </w:r>
  </w:p>
  <w:p w:rsidR="00B1511B" w:rsidRPr="003603CE" w:rsidRDefault="00B1511B" w:rsidP="003603CE">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B1511B" w:rsidRPr="003603CE" w:rsidRDefault="00A009A5" w:rsidP="003603CE">
        <w:pPr>
          <w:pStyle w:val="Encabezado"/>
          <w:tabs>
            <w:tab w:val="clear" w:pos="4320"/>
            <w:tab w:val="clear" w:pos="8640"/>
          </w:tabs>
          <w:jc w:val="right"/>
          <w:rPr>
            <w:noProof/>
            <w:kern w:val="22"/>
          </w:rPr>
        </w:pPr>
        <w:r>
          <w:rPr>
            <w:noProof/>
            <w:kern w:val="22"/>
          </w:rPr>
          <w:t>CBD/COP/DEC/14/1</w:t>
        </w:r>
      </w:p>
    </w:sdtContent>
  </w:sdt>
  <w:p w:rsidR="00B1511B" w:rsidRPr="003603CE" w:rsidRDefault="00B1511B" w:rsidP="003603CE">
    <w:pPr>
      <w:pStyle w:val="Encabezado"/>
      <w:tabs>
        <w:tab w:val="clear" w:pos="4320"/>
        <w:tab w:val="clear" w:pos="8640"/>
      </w:tabs>
      <w:jc w:val="right"/>
      <w:rPr>
        <w:noProof/>
        <w:kern w:val="22"/>
      </w:rPr>
    </w:pPr>
    <w:r>
      <w:t xml:space="preserve">Página </w:t>
    </w:r>
    <w:r w:rsidRPr="003603CE">
      <w:fldChar w:fldCharType="begin"/>
    </w:r>
    <w:r w:rsidRPr="003603CE">
      <w:instrText xml:space="preserve"> PAGE   \* MERGEFORMAT </w:instrText>
    </w:r>
    <w:r w:rsidRPr="003603CE">
      <w:fldChar w:fldCharType="separate"/>
    </w:r>
    <w:r w:rsidR="00FE3A6C">
      <w:t>5</w:t>
    </w:r>
    <w:r w:rsidRPr="003603CE">
      <w:fldChar w:fldCharType="end"/>
    </w:r>
  </w:p>
  <w:p w:rsidR="00B1511B" w:rsidRPr="003603CE" w:rsidRDefault="00B1511B" w:rsidP="003603CE">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26DC0"/>
    <w:rsid w:val="00046FA1"/>
    <w:rsid w:val="00060B74"/>
    <w:rsid w:val="000B1F6D"/>
    <w:rsid w:val="000B4CA8"/>
    <w:rsid w:val="000C2C9C"/>
    <w:rsid w:val="000E673A"/>
    <w:rsid w:val="000F6126"/>
    <w:rsid w:val="000F6BE0"/>
    <w:rsid w:val="000F74F5"/>
    <w:rsid w:val="001012B7"/>
    <w:rsid w:val="00105372"/>
    <w:rsid w:val="00115474"/>
    <w:rsid w:val="00131E7A"/>
    <w:rsid w:val="00142923"/>
    <w:rsid w:val="0015619B"/>
    <w:rsid w:val="001644FB"/>
    <w:rsid w:val="00172AF6"/>
    <w:rsid w:val="00176CEE"/>
    <w:rsid w:val="0018137C"/>
    <w:rsid w:val="00183F86"/>
    <w:rsid w:val="001B5CEB"/>
    <w:rsid w:val="001E3B18"/>
    <w:rsid w:val="001E6FFC"/>
    <w:rsid w:val="001F1571"/>
    <w:rsid w:val="00205897"/>
    <w:rsid w:val="002127B2"/>
    <w:rsid w:val="0023117E"/>
    <w:rsid w:val="00236922"/>
    <w:rsid w:val="002540C7"/>
    <w:rsid w:val="002810D9"/>
    <w:rsid w:val="00290C86"/>
    <w:rsid w:val="002D5555"/>
    <w:rsid w:val="002D6146"/>
    <w:rsid w:val="00347FF9"/>
    <w:rsid w:val="003603CE"/>
    <w:rsid w:val="00372F74"/>
    <w:rsid w:val="0039053F"/>
    <w:rsid w:val="00396EB2"/>
    <w:rsid w:val="003B32A5"/>
    <w:rsid w:val="003D3030"/>
    <w:rsid w:val="003D708B"/>
    <w:rsid w:val="003E0411"/>
    <w:rsid w:val="003F7224"/>
    <w:rsid w:val="00405146"/>
    <w:rsid w:val="004215A8"/>
    <w:rsid w:val="00421F34"/>
    <w:rsid w:val="0042412C"/>
    <w:rsid w:val="00427D21"/>
    <w:rsid w:val="004644C2"/>
    <w:rsid w:val="00467F9C"/>
    <w:rsid w:val="00475A31"/>
    <w:rsid w:val="00476FDC"/>
    <w:rsid w:val="0048059E"/>
    <w:rsid w:val="0048690E"/>
    <w:rsid w:val="0048775C"/>
    <w:rsid w:val="004A6E32"/>
    <w:rsid w:val="004B359C"/>
    <w:rsid w:val="004D3DBD"/>
    <w:rsid w:val="004E3965"/>
    <w:rsid w:val="00500241"/>
    <w:rsid w:val="00501F5F"/>
    <w:rsid w:val="00504DDD"/>
    <w:rsid w:val="0050593C"/>
    <w:rsid w:val="005173CB"/>
    <w:rsid w:val="00524D70"/>
    <w:rsid w:val="00527AE5"/>
    <w:rsid w:val="00534681"/>
    <w:rsid w:val="00553572"/>
    <w:rsid w:val="00564C9E"/>
    <w:rsid w:val="00571555"/>
    <w:rsid w:val="00594E4D"/>
    <w:rsid w:val="005F11DF"/>
    <w:rsid w:val="006122BA"/>
    <w:rsid w:val="0061445E"/>
    <w:rsid w:val="00614F3A"/>
    <w:rsid w:val="00616D38"/>
    <w:rsid w:val="00643F3C"/>
    <w:rsid w:val="006630D9"/>
    <w:rsid w:val="0068528E"/>
    <w:rsid w:val="00696B84"/>
    <w:rsid w:val="006B2290"/>
    <w:rsid w:val="006D0696"/>
    <w:rsid w:val="006E3202"/>
    <w:rsid w:val="006E4652"/>
    <w:rsid w:val="007107DF"/>
    <w:rsid w:val="00711D00"/>
    <w:rsid w:val="00717D88"/>
    <w:rsid w:val="00725106"/>
    <w:rsid w:val="00771AE9"/>
    <w:rsid w:val="007942D3"/>
    <w:rsid w:val="007A52E0"/>
    <w:rsid w:val="007B6C09"/>
    <w:rsid w:val="007D7882"/>
    <w:rsid w:val="007E09DA"/>
    <w:rsid w:val="007E76BC"/>
    <w:rsid w:val="008178B6"/>
    <w:rsid w:val="008327D8"/>
    <w:rsid w:val="00844DE6"/>
    <w:rsid w:val="00851408"/>
    <w:rsid w:val="00861C10"/>
    <w:rsid w:val="00865B74"/>
    <w:rsid w:val="008D0059"/>
    <w:rsid w:val="008D2FC7"/>
    <w:rsid w:val="0090701F"/>
    <w:rsid w:val="009160BF"/>
    <w:rsid w:val="00930BA1"/>
    <w:rsid w:val="0093169E"/>
    <w:rsid w:val="009505C9"/>
    <w:rsid w:val="00955B2A"/>
    <w:rsid w:val="00961BEF"/>
    <w:rsid w:val="00966FF3"/>
    <w:rsid w:val="00987659"/>
    <w:rsid w:val="00990CC5"/>
    <w:rsid w:val="009922EF"/>
    <w:rsid w:val="009A1D53"/>
    <w:rsid w:val="009A4753"/>
    <w:rsid w:val="009A6450"/>
    <w:rsid w:val="009A7636"/>
    <w:rsid w:val="009B4683"/>
    <w:rsid w:val="009C200D"/>
    <w:rsid w:val="009C2794"/>
    <w:rsid w:val="009D397C"/>
    <w:rsid w:val="009F6C90"/>
    <w:rsid w:val="00A009A5"/>
    <w:rsid w:val="00A17594"/>
    <w:rsid w:val="00A22094"/>
    <w:rsid w:val="00A3287B"/>
    <w:rsid w:val="00A543CA"/>
    <w:rsid w:val="00A70A65"/>
    <w:rsid w:val="00A92EB2"/>
    <w:rsid w:val="00A968AB"/>
    <w:rsid w:val="00AD63D2"/>
    <w:rsid w:val="00B1511B"/>
    <w:rsid w:val="00B3369F"/>
    <w:rsid w:val="00B348FC"/>
    <w:rsid w:val="00B439CB"/>
    <w:rsid w:val="00B46A44"/>
    <w:rsid w:val="00B72565"/>
    <w:rsid w:val="00BA0DE7"/>
    <w:rsid w:val="00BB0FDF"/>
    <w:rsid w:val="00BC3C83"/>
    <w:rsid w:val="00BD6C6E"/>
    <w:rsid w:val="00BE5104"/>
    <w:rsid w:val="00BE749D"/>
    <w:rsid w:val="00BF1959"/>
    <w:rsid w:val="00BF20A5"/>
    <w:rsid w:val="00BF601E"/>
    <w:rsid w:val="00C04C03"/>
    <w:rsid w:val="00C5220F"/>
    <w:rsid w:val="00C81808"/>
    <w:rsid w:val="00C83AE5"/>
    <w:rsid w:val="00C860A4"/>
    <w:rsid w:val="00C9161D"/>
    <w:rsid w:val="00CB738F"/>
    <w:rsid w:val="00CC1104"/>
    <w:rsid w:val="00CF05CD"/>
    <w:rsid w:val="00CF1848"/>
    <w:rsid w:val="00D073DC"/>
    <w:rsid w:val="00D12044"/>
    <w:rsid w:val="00D56A59"/>
    <w:rsid w:val="00D75071"/>
    <w:rsid w:val="00D76A18"/>
    <w:rsid w:val="00DC01D0"/>
    <w:rsid w:val="00DC56DB"/>
    <w:rsid w:val="00DC60A6"/>
    <w:rsid w:val="00DC6A47"/>
    <w:rsid w:val="00DD118C"/>
    <w:rsid w:val="00E15B70"/>
    <w:rsid w:val="00E62248"/>
    <w:rsid w:val="00E66235"/>
    <w:rsid w:val="00E823DF"/>
    <w:rsid w:val="00E83C24"/>
    <w:rsid w:val="00E9318D"/>
    <w:rsid w:val="00EA2164"/>
    <w:rsid w:val="00EB5AAA"/>
    <w:rsid w:val="00F0077D"/>
    <w:rsid w:val="00F13711"/>
    <w:rsid w:val="00F557E4"/>
    <w:rsid w:val="00F60E21"/>
    <w:rsid w:val="00F94031"/>
    <w:rsid w:val="00F94774"/>
    <w:rsid w:val="00FB0760"/>
    <w:rsid w:val="00FB38AA"/>
    <w:rsid w:val="00FC53DB"/>
    <w:rsid w:val="00FD1F10"/>
    <w:rsid w:val="00FD7A33"/>
    <w:rsid w:val="00FE3A6C"/>
    <w:rsid w:val="00FF485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EE8C6B"/>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D7A33"/>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FD7A33"/>
    <w:rPr>
      <w:rFonts w:ascii="Times New Roman" w:eastAsia="Times New Roman" w:hAnsi="Times New Roman" w:cs="Times New Roman"/>
      <w:sz w:val="22"/>
      <w:lang w:val="es-ES"/>
    </w:rPr>
  </w:style>
  <w:style w:type="paragraph" w:customStyle="1" w:styleId="sub-item">
    <w:name w:val="sub-item"/>
    <w:basedOn w:val="Ttulo2"/>
    <w:qFormat/>
    <w:rsid w:val="00FD7A33"/>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A543C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43CA"/>
    <w:rPr>
      <w:rFonts w:ascii="Times New Roman" w:eastAsia="Times New Roman" w:hAnsi="Times New Roman" w:cs="Times New Roman"/>
      <w:b/>
      <w:bCs/>
      <w:sz w:val="20"/>
      <w:szCs w:val="20"/>
      <w:lang w:val="es-ES"/>
    </w:rPr>
  </w:style>
  <w:style w:type="character" w:styleId="Textoennegrita">
    <w:name w:val="Strong"/>
    <w:basedOn w:val="Fuentedeprrafopredeter"/>
    <w:uiPriority w:val="22"/>
    <w:qFormat/>
    <w:rsid w:val="009A6450"/>
    <w:rPr>
      <w:b/>
      <w:bCs/>
    </w:rPr>
  </w:style>
  <w:style w:type="character" w:styleId="Mencinsinresolver">
    <w:name w:val="Unresolved Mention"/>
    <w:basedOn w:val="Fuentedeprrafopredeter"/>
    <w:uiPriority w:val="99"/>
    <w:semiHidden/>
    <w:unhideWhenUsed/>
    <w:rsid w:val="00961B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3136">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esnet.world/sites/default/files/WorkshopReport_July2017.pdf" TargetMode="External"/><Relationship Id="rId2" Type="http://schemas.openxmlformats.org/officeDocument/2006/relationships/hyperlink" Target="https://undocs.org/A/RES/70/1" TargetMode="External"/><Relationship Id="rId1" Type="http://schemas.openxmlformats.org/officeDocument/2006/relationships/hyperlink" Target="https://www.cbd.int/doc/decisions/cop-10/cop-10-dec-02-es.pdf" TargetMode="External"/><Relationship Id="rId5" Type="http://schemas.openxmlformats.org/officeDocument/2006/relationships/hyperlink" Target="https://www.cbd.int/gbo/gbo4/publication/lbo-en.pdf" TargetMode="External"/><Relationship Id="rId4" Type="http://schemas.openxmlformats.org/officeDocument/2006/relationships/hyperlink" Target="https://www.international-climate-initiative.com/en/nc/details/?projectid=2803&amp;iki_la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02110F4148FE46B6A862248BF8DCA9A0"/>
        <w:category>
          <w:name w:val="General"/>
          <w:gallery w:val="placeholder"/>
        </w:category>
        <w:types>
          <w:type w:val="bbPlcHdr"/>
        </w:types>
        <w:behaviors>
          <w:behavior w:val="content"/>
        </w:behaviors>
        <w:guid w:val="{B2D1A127-B52A-4DC3-9875-6C96D0CDF8EF}"/>
      </w:docPartPr>
      <w:docPartBody>
        <w:p w:rsidR="00940648" w:rsidRDefault="00C972DF" w:rsidP="00C972DF">
          <w:pPr>
            <w:pStyle w:val="02110F4148FE46B6A862248BF8DCA9A0"/>
          </w:pPr>
          <w:r w:rsidRPr="007E02EB">
            <w:rPr>
              <w:rStyle w:val="Textodelmarcadordeposicin"/>
            </w:rPr>
            <w:t>[Status]</w:t>
          </w:r>
        </w:p>
      </w:docPartBody>
    </w:docPart>
    <w:docPart>
      <w:docPartPr>
        <w:name w:val="BCA3772E92F148B9A2B3EB9C747A9071"/>
        <w:category>
          <w:name w:val="General"/>
          <w:gallery w:val="placeholder"/>
        </w:category>
        <w:types>
          <w:type w:val="bbPlcHdr"/>
        </w:types>
        <w:behaviors>
          <w:behavior w:val="content"/>
        </w:behaviors>
        <w:guid w:val="{C81B756B-4986-46BE-823D-BA20CC29B37B}"/>
      </w:docPartPr>
      <w:docPartBody>
        <w:p w:rsidR="00940648" w:rsidRDefault="00C972DF" w:rsidP="00C972DF">
          <w:pPr>
            <w:pStyle w:val="BCA3772E92F148B9A2B3EB9C747A9071"/>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500A2B"/>
    <w:rsid w:val="00527E2B"/>
    <w:rsid w:val="0058288D"/>
    <w:rsid w:val="005E4FAF"/>
    <w:rsid w:val="006801B3"/>
    <w:rsid w:val="007103A3"/>
    <w:rsid w:val="00720F63"/>
    <w:rsid w:val="007F1B76"/>
    <w:rsid w:val="00810A55"/>
    <w:rsid w:val="00883A40"/>
    <w:rsid w:val="008C6619"/>
    <w:rsid w:val="008D420E"/>
    <w:rsid w:val="00940648"/>
    <w:rsid w:val="0098642F"/>
    <w:rsid w:val="009F72FE"/>
    <w:rsid w:val="00B51630"/>
    <w:rsid w:val="00C972DF"/>
    <w:rsid w:val="00CE6602"/>
    <w:rsid w:val="00DB50F7"/>
    <w:rsid w:val="00E42FB4"/>
    <w:rsid w:val="00E521B9"/>
    <w:rsid w:val="00F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72DF"/>
    <w:rPr>
      <w:color w:val="808080"/>
    </w:rPr>
  </w:style>
  <w:style w:type="paragraph" w:customStyle="1" w:styleId="C444DEE40D7C456B82AF1A09CD132ABF">
    <w:name w:val="C444DEE40D7C456B82AF1A09CD132ABF"/>
    <w:rsid w:val="00CE6602"/>
    <w:pPr>
      <w:spacing w:after="160" w:line="259" w:lineRule="auto"/>
    </w:pPr>
  </w:style>
  <w:style w:type="paragraph" w:customStyle="1" w:styleId="02110F4148FE46B6A862248BF8DCA9A0">
    <w:name w:val="02110F4148FE46B6A862248BF8DCA9A0"/>
    <w:rsid w:val="00C972DF"/>
    <w:pPr>
      <w:spacing w:after="160" w:line="259" w:lineRule="auto"/>
    </w:pPr>
    <w:rPr>
      <w:lang w:val="en-CA" w:eastAsia="en-CA"/>
    </w:rPr>
  </w:style>
  <w:style w:type="paragraph" w:customStyle="1" w:styleId="BCA3772E92F148B9A2B3EB9C747A9071">
    <w:name w:val="BCA3772E92F148B9A2B3EB9C747A9071"/>
    <w:rsid w:val="00C972D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518CC4-26D2-4FC1-B17C-159168D7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3631</Words>
  <Characters>19971</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14/1.	Updated assessment of progress towards selected Aichi Biodiversity Targets and options to accelerate progress</vt:lpstr>
      <vt:lpstr>14/1.	Updated assessment of progress towards selected Aichi Biodiversity Targets and options to accelerate progress</vt:lpstr>
    </vt:vector>
  </TitlesOfParts>
  <Company>SCBD</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	Evaluación actualizada de los progresos hacia determinadas Metas de Aichi para la Diversidad Biológica y opciones para acelerar los progresos</dc:title>
  <dc:subject>CBD/COP/DEC/14/1</dc:subject>
  <dc:creator>COP 14</dc:creator>
  <cp:keywords>Review of progress in the implementation of the Convention and the Strategic Plan for Biodiversity 2011-2020</cp:keywords>
  <cp:lastModifiedBy>Maria Troitino</cp:lastModifiedBy>
  <cp:revision>3</cp:revision>
  <dcterms:created xsi:type="dcterms:W3CDTF">2019-02-06T02:26:00Z</dcterms:created>
  <dcterms:modified xsi:type="dcterms:W3CDTF">2019-02-06T02:31:00Z</dcterms:modified>
  <cp:contentStatus>GENERAL</cp:contentStatus>
</cp:coreProperties>
</file>